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宋体" w:hAnsi="宋体" w:eastAsia="宋体" w:cs="宋体"/>
          <w:sz w:val="32"/>
          <w:szCs w:val="32"/>
        </w:rPr>
      </w:pPr>
      <w:r>
        <w:rPr>
          <w:rFonts w:hint="eastAsia" w:ascii="黑体" w:hAnsi="黑体" w:eastAsia="黑体" w:cs="黑体"/>
          <w:sz w:val="32"/>
          <w:szCs w:val="32"/>
        </w:rPr>
        <w:t>附件</w:t>
      </w:r>
      <w:r>
        <w:rPr>
          <w:rFonts w:hint="eastAsia" w:ascii="宋体" w:hAnsi="宋体" w:eastAsia="宋体" w:cs="宋体"/>
          <w:sz w:val="32"/>
          <w:szCs w:val="32"/>
        </w:rPr>
        <w:t>1</w:t>
      </w:r>
    </w:p>
    <w:p>
      <w:pPr>
        <w:widowControl w:val="0"/>
        <w:wordWrap/>
        <w:adjustRightInd/>
        <w:snapToGrid w:val="0"/>
        <w:spacing w:beforeLines="50" w:beforeAutospacing="0" w:afterLines="100" w:afterAutospacing="0"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郑州市</w:t>
      </w:r>
      <w:r>
        <w:rPr>
          <w:rFonts w:hint="eastAsia" w:ascii="方正小标宋_GBK" w:hAnsi="方正小标宋_GBK" w:eastAsia="方正小标宋_GBK" w:cs="方正小标宋_GBK"/>
          <w:sz w:val="44"/>
          <w:szCs w:val="44"/>
          <w:lang w:eastAsia="zh-CN"/>
        </w:rPr>
        <w:t>上街区</w:t>
      </w:r>
      <w:bookmarkStart w:id="1" w:name="_GoBack"/>
      <w:bookmarkEnd w:id="1"/>
      <w:r>
        <w:rPr>
          <w:rFonts w:hint="eastAsia" w:ascii="方正小标宋_GBK" w:hAnsi="方正小标宋_GBK" w:eastAsia="方正小标宋_GBK" w:cs="方正小标宋_GBK"/>
          <w:sz w:val="44"/>
          <w:szCs w:val="44"/>
        </w:rPr>
        <w:t>人力资源和社会保障行政执法“四张清单”</w:t>
      </w:r>
    </w:p>
    <w:tbl>
      <w:tblPr>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435"/>
        <w:gridCol w:w="6360"/>
        <w:gridCol w:w="3454"/>
      </w:tblGrid>
      <w:tr>
        <w:trPr>
          <w:cantSplit/>
          <w:trHeight w:val="552" w:hRule="atLeast"/>
          <w:tblHeader/>
          <w:jc w:val="center"/>
        </w:trPr>
        <w:tc>
          <w:tcPr>
            <w:tcW w:w="14000" w:type="dxa"/>
            <w:gridSpan w:val="4"/>
            <w:vAlign w:val="center"/>
          </w:tcPr>
          <w:p>
            <w:pPr>
              <w:wordWrap/>
              <w:adjustRightInd/>
              <w:snapToGrid w:val="0"/>
              <w:spacing w:beforeAutospacing="0" w:afterAutospacing="0" w:line="240" w:lineRule="auto"/>
              <w:jc w:val="center"/>
              <w:rPr>
                <w:rFonts w:hint="eastAsia" w:ascii="方正书宋_GBK" w:hAnsi="方正书宋_GBK" w:eastAsia="黑体" w:cs="黑体"/>
                <w:sz w:val="21"/>
                <w:szCs w:val="21"/>
              </w:rPr>
            </w:pPr>
            <w:r>
              <w:rPr>
                <w:rFonts w:hint="eastAsia" w:ascii="方正书宋_GBK" w:hAnsi="方正书宋_GBK" w:eastAsia="黑体" w:cs="黑体"/>
                <w:sz w:val="21"/>
                <w:szCs w:val="21"/>
              </w:rPr>
              <w:t>轻微违法行为免予处罚清单</w:t>
            </w:r>
          </w:p>
        </w:tc>
      </w:tr>
      <w:tr>
        <w:trPr>
          <w:cantSplit/>
          <w:trHeight w:val="629" w:hRule="atLeast"/>
          <w:tblHeader/>
          <w:jc w:val="center"/>
        </w:trPr>
        <w:tc>
          <w:tcPr>
            <w:tcW w:w="751" w:type="dxa"/>
            <w:vAlign w:val="center"/>
          </w:tcPr>
          <w:p>
            <w:pPr>
              <w:wordWrap/>
              <w:adjustRightInd/>
              <w:snapToGrid w:val="0"/>
              <w:spacing w:beforeAutospacing="0" w:afterAutospacing="0" w:line="240" w:lineRule="auto"/>
              <w:jc w:val="center"/>
              <w:rPr>
                <w:rFonts w:hint="eastAsia" w:ascii="方正书宋_GBK" w:hAnsi="方正书宋_GBK" w:eastAsia="黑体" w:cs="黑体"/>
                <w:spacing w:val="-17"/>
                <w:sz w:val="21"/>
                <w:szCs w:val="21"/>
              </w:rPr>
            </w:pPr>
            <w:r>
              <w:rPr>
                <w:rFonts w:hint="eastAsia" w:ascii="方正书宋_GBK" w:hAnsi="方正书宋_GBK" w:eastAsia="黑体" w:cs="黑体"/>
                <w:spacing w:val="-17"/>
                <w:sz w:val="21"/>
                <w:szCs w:val="21"/>
              </w:rPr>
              <w:t>序号</w:t>
            </w:r>
          </w:p>
        </w:tc>
        <w:tc>
          <w:tcPr>
            <w:tcW w:w="3435" w:type="dxa"/>
            <w:vAlign w:val="center"/>
          </w:tcPr>
          <w:p>
            <w:pPr>
              <w:wordWrap/>
              <w:adjustRightInd/>
              <w:snapToGrid w:val="0"/>
              <w:spacing w:beforeAutospacing="0" w:afterAutospacing="0" w:line="240" w:lineRule="auto"/>
              <w:jc w:val="center"/>
              <w:rPr>
                <w:rFonts w:hint="eastAsia" w:ascii="方正书宋_GBK" w:hAnsi="方正书宋_GBK" w:eastAsia="黑体" w:cs="黑体"/>
                <w:sz w:val="21"/>
                <w:szCs w:val="21"/>
              </w:rPr>
            </w:pPr>
            <w:r>
              <w:rPr>
                <w:rFonts w:hint="eastAsia" w:ascii="方正书宋_GBK" w:hAnsi="方正书宋_GBK" w:eastAsia="黑体" w:cs="黑体"/>
                <w:sz w:val="21"/>
                <w:szCs w:val="21"/>
              </w:rPr>
              <w:t>处罚事项名称</w:t>
            </w:r>
          </w:p>
        </w:tc>
        <w:tc>
          <w:tcPr>
            <w:tcW w:w="6360" w:type="dxa"/>
            <w:vAlign w:val="center"/>
          </w:tcPr>
          <w:p>
            <w:pPr>
              <w:wordWrap/>
              <w:adjustRightInd/>
              <w:snapToGrid w:val="0"/>
              <w:spacing w:beforeAutospacing="0" w:afterAutospacing="0" w:line="240" w:lineRule="auto"/>
              <w:jc w:val="center"/>
              <w:rPr>
                <w:rFonts w:hint="eastAsia" w:ascii="方正书宋_GBK" w:hAnsi="方正书宋_GBK" w:eastAsia="黑体" w:cs="黑体"/>
                <w:sz w:val="21"/>
                <w:szCs w:val="21"/>
              </w:rPr>
            </w:pPr>
            <w:r>
              <w:rPr>
                <w:rFonts w:hint="eastAsia" w:ascii="方正书宋_GBK" w:hAnsi="方正书宋_GBK" w:eastAsia="黑体" w:cs="黑体"/>
                <w:sz w:val="21"/>
                <w:szCs w:val="21"/>
              </w:rPr>
              <w:t>设定依据</w:t>
            </w:r>
          </w:p>
        </w:tc>
        <w:tc>
          <w:tcPr>
            <w:tcW w:w="3454" w:type="dxa"/>
            <w:vAlign w:val="center"/>
          </w:tcPr>
          <w:p>
            <w:pPr>
              <w:wordWrap/>
              <w:adjustRightInd/>
              <w:snapToGrid w:val="0"/>
              <w:spacing w:beforeAutospacing="0" w:afterAutospacing="0" w:line="240" w:lineRule="auto"/>
              <w:jc w:val="center"/>
              <w:rPr>
                <w:rFonts w:hint="eastAsia" w:ascii="方正书宋_GBK" w:hAnsi="方正书宋_GBK" w:eastAsia="黑体" w:cs="黑体"/>
                <w:spacing w:val="-17"/>
                <w:sz w:val="21"/>
                <w:szCs w:val="21"/>
              </w:rPr>
            </w:pPr>
            <w:r>
              <w:rPr>
                <w:rFonts w:hint="eastAsia" w:ascii="方正书宋_GBK" w:hAnsi="方正书宋_GBK" w:eastAsia="黑体" w:cs="黑体"/>
                <w:spacing w:val="-17"/>
                <w:sz w:val="21"/>
                <w:szCs w:val="21"/>
              </w:rPr>
              <w:t>免予处罚情形</w:t>
            </w:r>
          </w:p>
        </w:tc>
      </w:tr>
      <w:tr>
        <w:trPr>
          <w:cantSplit/>
          <w:trHeight w:val="90" w:hRule="atLeast"/>
          <w:tblHeader/>
          <w:jc w:val="center"/>
        </w:trPr>
        <w:tc>
          <w:tcPr>
            <w:tcW w:w="751" w:type="dxa"/>
            <w:vAlign w:val="center"/>
          </w:tcPr>
          <w:p>
            <w:pPr>
              <w:wordWrap/>
              <w:adjustRightInd/>
              <w:snapToGrid w:val="0"/>
              <w:spacing w:beforeAutospacing="0" w:afterAutospacing="0" w:line="240" w:lineRule="auto"/>
              <w:jc w:val="center"/>
              <w:rPr>
                <w:rFonts w:ascii="方正书宋_GBK" w:hAnsi="方正书宋_GBK" w:eastAsia="仿宋" w:cs="仿宋"/>
                <w:sz w:val="21"/>
                <w:szCs w:val="21"/>
              </w:rPr>
            </w:pPr>
            <w:r>
              <w:rPr>
                <w:rFonts w:hint="eastAsia" w:ascii="方正书宋_GBK" w:hAnsi="方正书宋_GBK" w:eastAsia="仿宋" w:cs="仿宋"/>
                <w:sz w:val="21"/>
                <w:szCs w:val="21"/>
              </w:rPr>
              <w:t>1</w:t>
            </w:r>
          </w:p>
        </w:tc>
        <w:tc>
          <w:tcPr>
            <w:tcW w:w="3435"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对人才中介服务机构擅自扩大许可业务范围、不按规定办理许可证年检、变更等手续的处罚</w:t>
            </w:r>
          </w:p>
        </w:tc>
        <w:tc>
          <w:tcPr>
            <w:tcW w:w="6360"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
                <w:sz w:val="21"/>
                <w:szCs w:val="21"/>
              </w:rPr>
              <w:t>《郑州市人才市场管理办法》（郑州市人民政府令第104号，2020年1月17日修订）</w:t>
            </w:r>
            <w:r>
              <w:rPr>
                <w:rFonts w:hint="eastAsia" w:ascii="方正书宋_GBK" w:hAnsi="方正书宋_GBK" w:eastAsia="仿宋" w:cs="仿宋_GB2312"/>
                <w:sz w:val="21"/>
                <w:szCs w:val="21"/>
              </w:rPr>
              <w:t>第二十六条：违反本办法规定，有下列行为之一的，由市、县（市）、区人事行政部门按照下列规定给予处罚：（二）人才中介服务机构擅自扩大许可业务、不按照规定办理变更等手续的，给予警告，并可处1000元以上5000元以下罚款。</w:t>
            </w:r>
          </w:p>
        </w:tc>
        <w:tc>
          <w:tcPr>
            <w:tcW w:w="3454"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同时具备以下条件：</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1.没有违法所得；</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2.检查之日起前十二个月内无违反同一法律规定的查处记录；</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3.未造成危害后果；</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4.主动整改或在行政机关责令（限期）改正期限内改正。</w:t>
            </w:r>
          </w:p>
        </w:tc>
      </w:tr>
      <w:tr>
        <w:trPr>
          <w:cantSplit/>
          <w:trHeight w:val="2664" w:hRule="atLeast"/>
          <w:tblHeader/>
          <w:jc w:val="center"/>
        </w:trPr>
        <w:tc>
          <w:tcPr>
            <w:tcW w:w="751" w:type="dxa"/>
            <w:vAlign w:val="center"/>
          </w:tcPr>
          <w:p>
            <w:pPr>
              <w:wordWrap/>
              <w:adjustRightInd/>
              <w:snapToGrid w:val="0"/>
              <w:spacing w:beforeAutospacing="0" w:afterAutospacing="0" w:line="240" w:lineRule="auto"/>
              <w:jc w:val="center"/>
              <w:rPr>
                <w:rFonts w:ascii="方正书宋_GBK" w:hAnsi="方正书宋_GBK" w:eastAsia="仿宋" w:cs="仿宋"/>
                <w:sz w:val="21"/>
                <w:szCs w:val="21"/>
              </w:rPr>
            </w:pPr>
            <w:r>
              <w:rPr>
                <w:rFonts w:hint="eastAsia" w:ascii="方正书宋_GBK" w:hAnsi="方正书宋_GBK" w:eastAsia="仿宋" w:cs="仿宋"/>
                <w:sz w:val="21"/>
                <w:szCs w:val="21"/>
              </w:rPr>
              <w:t>2</w:t>
            </w:r>
          </w:p>
        </w:tc>
        <w:tc>
          <w:tcPr>
            <w:tcW w:w="3435"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对用人单位采取欺诈或者其他方式谋取非法利益的处罚</w:t>
            </w:r>
          </w:p>
        </w:tc>
        <w:tc>
          <w:tcPr>
            <w:tcW w:w="6360"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
                <w:sz w:val="21"/>
                <w:szCs w:val="21"/>
              </w:rPr>
              <w:t>《郑州市人才市场管理办法》（郑州市人民政府令第104号，2020年1月17日修订）</w:t>
            </w:r>
            <w:r>
              <w:rPr>
                <w:rFonts w:hint="eastAsia" w:ascii="方正书宋_GBK" w:hAnsi="方正书宋_GBK" w:eastAsia="仿宋" w:cs="仿宋_GB2312"/>
                <w:sz w:val="21"/>
                <w:szCs w:val="21"/>
              </w:rPr>
              <w:t>第二十七条：用人单位违反本办法规定，有下列行为之一的，由市、县（市）、区人事行政部门按照下列规定给予处罚：（二）采取欺诈或者其他方式谋取非法利益的，责令改正，并处以5000元以上10000元以下罚款。</w:t>
            </w:r>
          </w:p>
        </w:tc>
        <w:tc>
          <w:tcPr>
            <w:tcW w:w="3454"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同时具备以下条件：</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1.没有违法所得；</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2.检查之日起前十二个月内无违反同一法律规定的查处记录；</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3.未造成危害后果；</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4.主动整改或在行政机关责令（限期）改正期限内改正。</w:t>
            </w:r>
          </w:p>
        </w:tc>
      </w:tr>
      <w:tr>
        <w:trPr>
          <w:cantSplit/>
          <w:trHeight w:val="552" w:hRule="atLeast"/>
          <w:tblHeader/>
          <w:jc w:val="center"/>
        </w:trPr>
        <w:tc>
          <w:tcPr>
            <w:tcW w:w="14000" w:type="dxa"/>
            <w:gridSpan w:val="4"/>
            <w:vAlign w:val="center"/>
          </w:tcPr>
          <w:p>
            <w:pPr>
              <w:wordWrap/>
              <w:adjustRightInd/>
              <w:snapToGrid w:val="0"/>
              <w:spacing w:beforeAutospacing="0" w:afterAutospacing="0" w:line="240" w:lineRule="auto"/>
              <w:jc w:val="center"/>
              <w:rPr>
                <w:rFonts w:hint="eastAsia" w:ascii="方正书宋_GBK" w:hAnsi="方正书宋_GBK" w:eastAsia="黑体" w:cs="黑体"/>
                <w:sz w:val="21"/>
                <w:szCs w:val="21"/>
              </w:rPr>
            </w:pPr>
            <w:bookmarkStart w:id="0" w:name="_Hlk121304461"/>
            <w:r>
              <w:rPr>
                <w:rFonts w:hint="eastAsia" w:ascii="方正书宋_GBK" w:hAnsi="方正书宋_GBK" w:eastAsia="黑体" w:cs="黑体"/>
                <w:sz w:val="21"/>
                <w:szCs w:val="21"/>
              </w:rPr>
              <w:t>轻微违法行为免予处罚清单</w:t>
            </w:r>
          </w:p>
        </w:tc>
      </w:tr>
      <w:tr>
        <w:trPr>
          <w:cantSplit/>
          <w:trHeight w:val="629" w:hRule="atLeast"/>
          <w:tblHeader/>
          <w:jc w:val="center"/>
        </w:trPr>
        <w:tc>
          <w:tcPr>
            <w:tcW w:w="751" w:type="dxa"/>
            <w:vAlign w:val="center"/>
          </w:tcPr>
          <w:p>
            <w:pPr>
              <w:wordWrap/>
              <w:adjustRightInd/>
              <w:snapToGrid w:val="0"/>
              <w:spacing w:beforeAutospacing="0" w:afterAutospacing="0" w:line="240" w:lineRule="auto"/>
              <w:jc w:val="center"/>
              <w:rPr>
                <w:rFonts w:hint="eastAsia" w:ascii="方正书宋_GBK" w:hAnsi="方正书宋_GBK" w:eastAsia="黑体" w:cs="黑体"/>
                <w:spacing w:val="-17"/>
                <w:sz w:val="21"/>
                <w:szCs w:val="21"/>
              </w:rPr>
            </w:pPr>
            <w:r>
              <w:rPr>
                <w:rFonts w:hint="eastAsia" w:ascii="方正书宋_GBK" w:hAnsi="方正书宋_GBK" w:eastAsia="黑体" w:cs="黑体"/>
                <w:spacing w:val="-17"/>
                <w:sz w:val="21"/>
                <w:szCs w:val="21"/>
              </w:rPr>
              <w:t>序号</w:t>
            </w:r>
          </w:p>
        </w:tc>
        <w:tc>
          <w:tcPr>
            <w:tcW w:w="3435" w:type="dxa"/>
            <w:vAlign w:val="center"/>
          </w:tcPr>
          <w:p>
            <w:pPr>
              <w:wordWrap/>
              <w:adjustRightInd/>
              <w:snapToGrid w:val="0"/>
              <w:spacing w:beforeAutospacing="0" w:afterAutospacing="0" w:line="240" w:lineRule="auto"/>
              <w:jc w:val="center"/>
              <w:rPr>
                <w:rFonts w:hint="eastAsia" w:ascii="方正书宋_GBK" w:hAnsi="方正书宋_GBK" w:eastAsia="黑体" w:cs="黑体"/>
                <w:sz w:val="21"/>
                <w:szCs w:val="21"/>
              </w:rPr>
            </w:pPr>
            <w:r>
              <w:rPr>
                <w:rFonts w:hint="eastAsia" w:ascii="方正书宋_GBK" w:hAnsi="方正书宋_GBK" w:eastAsia="黑体" w:cs="黑体"/>
                <w:sz w:val="21"/>
                <w:szCs w:val="21"/>
              </w:rPr>
              <w:t>处罚事项名称</w:t>
            </w:r>
          </w:p>
        </w:tc>
        <w:tc>
          <w:tcPr>
            <w:tcW w:w="6360" w:type="dxa"/>
            <w:vAlign w:val="center"/>
          </w:tcPr>
          <w:p>
            <w:pPr>
              <w:wordWrap/>
              <w:adjustRightInd/>
              <w:snapToGrid w:val="0"/>
              <w:spacing w:beforeAutospacing="0" w:afterAutospacing="0" w:line="240" w:lineRule="auto"/>
              <w:jc w:val="center"/>
              <w:rPr>
                <w:rFonts w:hint="eastAsia" w:ascii="方正书宋_GBK" w:hAnsi="方正书宋_GBK" w:eastAsia="黑体" w:cs="黑体"/>
                <w:sz w:val="21"/>
                <w:szCs w:val="21"/>
              </w:rPr>
            </w:pPr>
            <w:r>
              <w:rPr>
                <w:rFonts w:hint="eastAsia" w:ascii="方正书宋_GBK" w:hAnsi="方正书宋_GBK" w:eastAsia="黑体" w:cs="黑体"/>
                <w:sz w:val="21"/>
                <w:szCs w:val="21"/>
              </w:rPr>
              <w:t>设定依据</w:t>
            </w:r>
          </w:p>
        </w:tc>
        <w:tc>
          <w:tcPr>
            <w:tcW w:w="3454" w:type="dxa"/>
            <w:vAlign w:val="center"/>
          </w:tcPr>
          <w:p>
            <w:pPr>
              <w:wordWrap/>
              <w:adjustRightInd/>
              <w:snapToGrid w:val="0"/>
              <w:spacing w:beforeAutospacing="0" w:afterAutospacing="0" w:line="240" w:lineRule="auto"/>
              <w:jc w:val="center"/>
              <w:rPr>
                <w:rFonts w:hint="eastAsia" w:ascii="方正书宋_GBK" w:hAnsi="方正书宋_GBK" w:eastAsia="黑体" w:cs="黑体"/>
                <w:spacing w:val="-17"/>
                <w:sz w:val="21"/>
                <w:szCs w:val="21"/>
              </w:rPr>
            </w:pPr>
            <w:r>
              <w:rPr>
                <w:rFonts w:hint="eastAsia" w:ascii="方正书宋_GBK" w:hAnsi="方正书宋_GBK" w:eastAsia="黑体" w:cs="黑体"/>
                <w:spacing w:val="-17"/>
                <w:sz w:val="21"/>
                <w:szCs w:val="21"/>
              </w:rPr>
              <w:t>免予处罚情形</w:t>
            </w:r>
          </w:p>
        </w:tc>
      </w:tr>
      <w:tr>
        <w:trPr>
          <w:cantSplit/>
          <w:trHeight w:val="3127" w:hRule="atLeast"/>
          <w:tblHeader/>
          <w:jc w:val="center"/>
        </w:trPr>
        <w:tc>
          <w:tcPr>
            <w:tcW w:w="751" w:type="dxa"/>
            <w:vAlign w:val="center"/>
          </w:tcPr>
          <w:p>
            <w:pPr>
              <w:wordWrap/>
              <w:adjustRightInd/>
              <w:snapToGrid w:val="0"/>
              <w:spacing w:beforeAutospacing="0" w:afterAutospacing="0" w:line="240" w:lineRule="auto"/>
              <w:jc w:val="center"/>
              <w:rPr>
                <w:rFonts w:ascii="方正书宋_GBK" w:hAnsi="方正书宋_GBK" w:eastAsia="仿宋" w:cs="仿宋"/>
                <w:sz w:val="21"/>
                <w:szCs w:val="21"/>
              </w:rPr>
            </w:pPr>
            <w:r>
              <w:rPr>
                <w:rFonts w:hint="eastAsia" w:ascii="方正书宋_GBK" w:hAnsi="方正书宋_GBK" w:eastAsia="仿宋" w:cs="仿宋"/>
                <w:sz w:val="21"/>
                <w:szCs w:val="21"/>
              </w:rPr>
              <w:t>3</w:t>
            </w:r>
          </w:p>
        </w:tc>
        <w:tc>
          <w:tcPr>
            <w:tcW w:w="3435"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对人力资源中介服务组织超出许可的业务范围经营、为无合法身份证件的劳动者提供人力资源中介服务的、介绍劳动者从事法律、法规禁止的职业、以暴力、胁迫、欺诈等方式进行人力资源中介服务活动的处罚</w:t>
            </w:r>
          </w:p>
        </w:tc>
        <w:tc>
          <w:tcPr>
            <w:tcW w:w="6360"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郑州市劳动用工条例》（自2013年1月1日起施行）第四十四条：违反本条例规定，有下列行为之一的，按照下列规定处罚：（三）违反第九条第（一）项、第（四）项、第（六）项、第（九）项规定的，由人力资源社会保障行政部门责令改正；没有违法所得的，可处以一万元以下罚款；有违法所得的，可处以不超过违法所得三倍的罚款，但最高不得超过三万元；情节严重的，提请工商行政管理部门依法吊销营业执照；对当事人造成损害的，依法承担赔偿责任。</w:t>
            </w:r>
          </w:p>
        </w:tc>
        <w:tc>
          <w:tcPr>
            <w:tcW w:w="3454" w:type="dxa"/>
            <w:vAlign w:val="center"/>
          </w:tcPr>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同时具备以下条件：</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1.没有违法所得；</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2.检查之日起前十二个月内无违反同一法律规定的查处记录；</w:t>
            </w:r>
          </w:p>
          <w:p>
            <w:pPr>
              <w:pStyle w:val="7"/>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3.未造成危害后果；</w:t>
            </w:r>
          </w:p>
          <w:p>
            <w:pPr>
              <w:wordWrap/>
              <w:adjustRightInd/>
              <w:snapToGrid w:val="0"/>
              <w:spacing w:beforeAutospacing="0" w:afterAutospacing="0" w:line="240" w:lineRule="auto"/>
              <w:rPr>
                <w:rFonts w:hint="eastAsia" w:ascii="方正书宋_GBK" w:hAnsi="方正书宋_GBK" w:eastAsia="仿宋" w:cs="仿宋_GB2312"/>
                <w:sz w:val="21"/>
                <w:szCs w:val="21"/>
              </w:rPr>
            </w:pPr>
            <w:r>
              <w:rPr>
                <w:rFonts w:hint="eastAsia" w:ascii="方正书宋_GBK" w:hAnsi="方正书宋_GBK" w:eastAsia="仿宋" w:cs="仿宋_GB2312"/>
                <w:sz w:val="21"/>
                <w:szCs w:val="21"/>
              </w:rPr>
              <w:t>4.主动整改或在行政机关责令（限期）改正期限内改正。</w:t>
            </w:r>
          </w:p>
        </w:tc>
      </w:tr>
      <w:tr>
        <w:trPr>
          <w:cantSplit/>
          <w:trHeight w:val="2571" w:hRule="atLeast"/>
          <w:tblHeader/>
          <w:jc w:val="center"/>
        </w:trPr>
        <w:tc>
          <w:tcPr>
            <w:tcW w:w="14000" w:type="dxa"/>
            <w:gridSpan w:val="4"/>
            <w:vAlign w:val="center"/>
          </w:tcPr>
          <w:p>
            <w:pPr>
              <w:pStyle w:val="4"/>
              <w:wordWrap/>
              <w:adjustRightInd/>
              <w:snapToGrid w:val="0"/>
              <w:spacing w:beforeAutospacing="0" w:afterAutospacing="0" w:line="240" w:lineRule="auto"/>
              <w:rPr>
                <w:rFonts w:hint="eastAsia" w:ascii="方正书宋_GBK" w:hAnsi="方正书宋_GBK" w:eastAsia="仿宋_GB2312" w:cs="仿宋_GB2312"/>
                <w:sz w:val="21"/>
                <w:szCs w:val="21"/>
              </w:rPr>
            </w:pPr>
            <w:r>
              <w:rPr>
                <w:rFonts w:hint="eastAsia" w:ascii="方正书宋_GBK" w:hAnsi="方正书宋_GBK" w:eastAsia="黑体" w:cs="黑体"/>
                <w:sz w:val="21"/>
                <w:szCs w:val="21"/>
              </w:rPr>
              <w:t>注：</w:t>
            </w:r>
            <w:r>
              <w:rPr>
                <w:rFonts w:hint="eastAsia" w:ascii="方正书宋_GBK" w:hAnsi="方正书宋_GBK" w:eastAsia="仿宋" w:cs="仿宋"/>
                <w:sz w:val="21"/>
                <w:szCs w:val="21"/>
              </w:rPr>
              <w:t>1.轻微违法行为免予行政处罚：是指按照法律、法规和规章的规定，应当给予行政处罚，但鉴于情节轻微、未造成危害后果，且及时纠正，而不予行政处罚。2.检查之日起前十二个月无违反同一法律规定查处记录：是指自检查之日起前十二个月内，在全</w:t>
            </w:r>
            <w:r>
              <w:rPr>
                <w:rFonts w:hint="eastAsia" w:ascii="方正书宋_GBK" w:hAnsi="方正书宋_GBK" w:eastAsia="仿宋" w:cs="仿宋"/>
                <w:sz w:val="21"/>
                <w:szCs w:val="21"/>
                <w:lang w:eastAsia="zh-CN"/>
              </w:rPr>
              <w:t>区</w:t>
            </w:r>
            <w:r>
              <w:rPr>
                <w:rFonts w:hint="eastAsia" w:ascii="方正书宋_GBK" w:hAnsi="方正书宋_GBK" w:eastAsia="仿宋" w:cs="仿宋"/>
                <w:sz w:val="21"/>
                <w:szCs w:val="21"/>
              </w:rPr>
              <w:t>范围内未发现该用人单位违反同一法律、法规规定被查处的记录。3.未造成危害后果：是指违法行为还未产生行为后果或没有造成社会不良影响等。4.主动整改或在行政机关责令（限期）改正期限内改正：是指未经行政机关责令，用人单位或经营性人力资源服务机构主动纠正；或经行政机关责令，按规定期限要求改正了违法行为，且经执法人员复查符合法律、法规的规定。</w:t>
            </w:r>
          </w:p>
        </w:tc>
      </w:tr>
      <w:bookmarkEnd w:id="0"/>
    </w:tbl>
    <w:p>
      <w:pPr>
        <w:pStyle w:val="4"/>
        <w:wordWrap/>
        <w:adjustRightInd/>
        <w:snapToGrid w:val="0"/>
        <w:spacing w:beforeAutospacing="0" w:afterAutospacing="0" w:line="240" w:lineRule="auto"/>
        <w:ind w:firstLine="482"/>
        <w:rPr>
          <w:rFonts w:hint="eastAsia" w:ascii="方正书宋_GBK" w:hAnsi="方正书宋_GBK" w:eastAsia="仿宋_GB2312" w:cs="仿宋_GB2312"/>
          <w:sz w:val="21"/>
          <w:szCs w:val="21"/>
        </w:rPr>
      </w:pPr>
    </w:p>
    <w:p>
      <w:pPr>
        <w:pStyle w:val="4"/>
        <w:wordWrap/>
        <w:adjustRightInd/>
        <w:snapToGrid w:val="0"/>
        <w:spacing w:beforeAutospacing="0" w:afterAutospacing="0" w:line="240" w:lineRule="auto"/>
        <w:ind w:firstLine="482"/>
        <w:rPr>
          <w:rFonts w:hint="eastAsia" w:ascii="方正书宋_GBK" w:hAnsi="方正书宋_GBK" w:eastAsia="仿宋_GB2312" w:cs="仿宋_GB2312"/>
          <w:sz w:val="21"/>
          <w:szCs w:val="21"/>
        </w:rPr>
      </w:pPr>
    </w:p>
    <w:p>
      <w:pPr>
        <w:pStyle w:val="4"/>
        <w:wordWrap/>
        <w:adjustRightInd/>
        <w:snapToGrid w:val="0"/>
        <w:spacing w:beforeAutospacing="0" w:afterAutospacing="0" w:line="240" w:lineRule="auto"/>
        <w:ind w:firstLine="482"/>
        <w:rPr>
          <w:rFonts w:hint="eastAsia" w:ascii="方正书宋_GBK" w:hAnsi="方正书宋_GBK" w:eastAsia="仿宋_GB2312" w:cs="仿宋_GB2312"/>
          <w:sz w:val="21"/>
          <w:szCs w:val="21"/>
        </w:rPr>
      </w:pPr>
    </w:p>
    <w:p>
      <w:pPr>
        <w:pStyle w:val="4"/>
        <w:wordWrap/>
        <w:adjustRightInd/>
        <w:snapToGrid w:val="0"/>
        <w:spacing w:beforeAutospacing="0" w:afterAutospacing="0" w:line="240" w:lineRule="auto"/>
        <w:ind w:firstLine="482"/>
        <w:rPr>
          <w:rFonts w:hint="eastAsia" w:ascii="方正书宋_GBK" w:hAnsi="方正书宋_GBK" w:eastAsia="仿宋_GB2312" w:cs="仿宋_GB2312"/>
          <w:sz w:val="21"/>
          <w:szCs w:val="21"/>
        </w:rPr>
      </w:pPr>
    </w:p>
    <w:p>
      <w:pPr>
        <w:pStyle w:val="4"/>
        <w:wordWrap/>
        <w:adjustRightInd/>
        <w:snapToGrid w:val="0"/>
        <w:spacing w:beforeAutospacing="0" w:afterAutospacing="0" w:line="240" w:lineRule="auto"/>
        <w:ind w:firstLine="482"/>
        <w:rPr>
          <w:rFonts w:hint="eastAsia" w:ascii="方正书宋_GBK" w:hAnsi="方正书宋_GBK" w:eastAsia="仿宋_GB2312" w:cs="仿宋_GB2312"/>
          <w:sz w:val="21"/>
          <w:szCs w:val="21"/>
        </w:rPr>
      </w:pPr>
    </w:p>
    <w:p>
      <w:pPr>
        <w:pStyle w:val="4"/>
        <w:wordWrap/>
        <w:adjustRightInd/>
        <w:snapToGrid w:val="0"/>
        <w:spacing w:beforeAutospacing="0" w:afterAutospacing="0" w:line="240" w:lineRule="auto"/>
        <w:ind w:firstLine="482"/>
        <w:rPr>
          <w:rFonts w:hint="eastAsia" w:ascii="方正书宋_GBK" w:hAnsi="方正书宋_GBK" w:eastAsia="仿宋_GB2312" w:cs="仿宋_GB2312"/>
          <w:sz w:val="21"/>
          <w:szCs w:val="21"/>
        </w:rPr>
      </w:pPr>
    </w:p>
    <w:tbl>
      <w:tblPr>
        <w:tblW w:w="14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50"/>
        <w:gridCol w:w="4536"/>
        <w:gridCol w:w="2694"/>
        <w:gridCol w:w="1134"/>
        <w:gridCol w:w="1417"/>
        <w:gridCol w:w="2727"/>
        <w:gridCol w:w="803"/>
      </w:tblGrid>
      <w:tr>
        <w:trPr>
          <w:cantSplit/>
          <w:trHeight w:val="699" w:hRule="atLeast"/>
          <w:tblHeader/>
          <w:jc w:val="center"/>
        </w:trPr>
        <w:tc>
          <w:tcPr>
            <w:tcW w:w="14553" w:type="dxa"/>
            <w:gridSpan w:val="8"/>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从轻处罚事项清单</w:t>
            </w:r>
          </w:p>
        </w:tc>
      </w:tr>
      <w:tr>
        <w:trPr>
          <w:cantSplit/>
          <w:trHeight w:val="548" w:hRule="atLeast"/>
          <w:tblHeader/>
          <w:jc w:val="center"/>
        </w:trPr>
        <w:tc>
          <w:tcPr>
            <w:tcW w:w="392" w:type="dxa"/>
            <w:vAlign w:val="center"/>
          </w:tcPr>
          <w:p>
            <w:pPr>
              <w:wordWrap/>
              <w:adjustRightInd/>
              <w:snapToGrid w:val="0"/>
              <w:spacing w:beforeAutospacing="0" w:afterAutospacing="0" w:line="240" w:lineRule="auto"/>
              <w:jc w:val="center"/>
              <w:rPr>
                <w:rFonts w:hint="eastAsia" w:ascii="方正书宋_GBK" w:hAnsi="方正书宋_GBK" w:eastAsia="黑体" w:cs="仿宋"/>
                <w:sz w:val="21"/>
                <w:szCs w:val="21"/>
              </w:rPr>
            </w:pPr>
            <w:r>
              <w:rPr>
                <w:rFonts w:hint="eastAsia" w:ascii="方正书宋_GBK" w:hAnsi="方正书宋_GBK" w:eastAsia="黑体" w:cs="仿宋"/>
                <w:sz w:val="21"/>
                <w:szCs w:val="21"/>
              </w:rPr>
              <w:t>序号</w:t>
            </w:r>
          </w:p>
        </w:tc>
        <w:tc>
          <w:tcPr>
            <w:tcW w:w="850"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事项</w:t>
            </w:r>
          </w:p>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名称</w:t>
            </w:r>
          </w:p>
        </w:tc>
        <w:tc>
          <w:tcPr>
            <w:tcW w:w="4536"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设定依据</w:t>
            </w:r>
          </w:p>
        </w:tc>
        <w:tc>
          <w:tcPr>
            <w:tcW w:w="2694"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适用情形</w:t>
            </w:r>
          </w:p>
        </w:tc>
        <w:tc>
          <w:tcPr>
            <w:tcW w:w="1134"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 xml:space="preserve">从轻处罚依 </w:t>
            </w:r>
            <w:r>
              <w:rPr>
                <w:rFonts w:ascii="方正书宋_GBK" w:hAnsi="方正书宋_GBK" w:eastAsia="黑体" w:cs="仿宋_GB2312"/>
                <w:sz w:val="21"/>
                <w:szCs w:val="21"/>
              </w:rPr>
              <w:t xml:space="preserve">   </w:t>
            </w:r>
            <w:r>
              <w:rPr>
                <w:rFonts w:hint="eastAsia" w:ascii="方正书宋_GBK" w:hAnsi="方正书宋_GBK" w:eastAsia="黑体" w:cs="仿宋_GB2312"/>
                <w:sz w:val="21"/>
                <w:szCs w:val="21"/>
              </w:rPr>
              <w:t>据</w:t>
            </w:r>
          </w:p>
        </w:tc>
        <w:tc>
          <w:tcPr>
            <w:tcW w:w="1417"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裁量幅度</w:t>
            </w:r>
          </w:p>
        </w:tc>
        <w:tc>
          <w:tcPr>
            <w:tcW w:w="2727"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配套监管措施</w:t>
            </w:r>
          </w:p>
        </w:tc>
        <w:tc>
          <w:tcPr>
            <w:tcW w:w="803"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备 注</w:t>
            </w:r>
          </w:p>
        </w:tc>
      </w:tr>
      <w:tr>
        <w:trPr>
          <w:cantSplit/>
          <w:trHeight w:val="3682" w:hRule="atLeast"/>
          <w:tblHeader/>
          <w:jc w:val="center"/>
        </w:trPr>
        <w:tc>
          <w:tcPr>
            <w:tcW w:w="392" w:type="dxa"/>
            <w:vAlign w:val="center"/>
          </w:tcPr>
          <w:p>
            <w:pPr>
              <w:wordWrap/>
              <w:adjustRightInd/>
              <w:snapToGrid w:val="0"/>
              <w:spacing w:beforeAutospacing="0" w:afterAutospacing="0" w:line="240" w:lineRule="auto"/>
              <w:jc w:val="center"/>
              <w:rPr>
                <w:rFonts w:hint="eastAsia" w:ascii="方正书宋_GBK" w:hAnsi="方正书宋_GBK" w:eastAsia="仿宋" w:cs="仿宋"/>
                <w:spacing w:val="-6"/>
                <w:sz w:val="21"/>
                <w:szCs w:val="21"/>
              </w:rPr>
            </w:pPr>
            <w:r>
              <w:rPr>
                <w:rFonts w:hint="eastAsia" w:ascii="方正书宋_GBK" w:hAnsi="方正书宋_GBK" w:eastAsia="仿宋" w:cs="仿宋"/>
                <w:spacing w:val="-6"/>
                <w:sz w:val="21"/>
                <w:szCs w:val="21"/>
              </w:rPr>
              <w:t>1</w:t>
            </w:r>
          </w:p>
        </w:tc>
        <w:tc>
          <w:tcPr>
            <w:tcW w:w="850"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对人力资源中介服务组织为无合法身份证件的劳动者提供人力资源中介服务的处罚</w:t>
            </w:r>
          </w:p>
        </w:tc>
        <w:tc>
          <w:tcPr>
            <w:tcW w:w="4536"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《郑州市劳动用工条例》第九条第四项：人力资源中介服务组织不得有下列行为：(四)为无合法身份证件的劳动者提供人力资源中介服务;</w:t>
            </w:r>
          </w:p>
          <w:p>
            <w:pPr>
              <w:wordWrap/>
              <w:adjustRightInd/>
              <w:snapToGrid w:val="0"/>
              <w:spacing w:beforeAutospacing="0" w:afterAutospacing="0" w:line="240" w:lineRule="auto"/>
              <w:rPr>
                <w:rFonts w:hint="eastAsia" w:ascii="方正书宋_GBK" w:hAnsi="方正书宋_GBK" w:eastAsia="仿宋" w:cs="仿宋_GB2312"/>
                <w:spacing w:val="-6"/>
                <w:sz w:val="21"/>
                <w:szCs w:val="21"/>
                <w:lang w:eastAsia="zh-CN"/>
              </w:rPr>
            </w:pPr>
            <w:r>
              <w:rPr>
                <w:rFonts w:hint="eastAsia" w:ascii="方正书宋_GBK" w:hAnsi="方正书宋_GBK" w:eastAsia="仿宋" w:cs="仿宋_GB2312"/>
                <w:spacing w:val="-6"/>
                <w:sz w:val="21"/>
                <w:szCs w:val="21"/>
              </w:rPr>
              <w:t>《郑州市劳动用工条例》第四十四条第（三）项：违反第九条第(一)项、第(四)项、第(六)项、第(九)项规定的，由人力资源社会保障行政部门责令改正;没有违法所得的，可处以一万元以下罚款;有违法所得的，可处以不超过违法所得三倍的罚款，但最高不得超过三万元;情节严重的，提请工商行政管理部门依法吊销营业执照;对当事人造成损害的，依法承担赔偿责任</w:t>
            </w:r>
            <w:r>
              <w:rPr>
                <w:rFonts w:hint="eastAsia" w:ascii="方正书宋_GBK" w:hAnsi="方正书宋_GBK" w:eastAsia="仿宋" w:cs="仿宋_GB2312"/>
                <w:spacing w:val="-6"/>
                <w:sz w:val="21"/>
                <w:szCs w:val="21"/>
                <w:lang w:eastAsia="zh-CN"/>
              </w:rPr>
              <w:t>。</w:t>
            </w:r>
          </w:p>
        </w:tc>
        <w:tc>
          <w:tcPr>
            <w:tcW w:w="2694"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存在以下情形之一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134"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《行政处罚法》第三十二条；</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《河南省人力资源社会保障行政处罚裁量权适用规则》第九条、第十二条</w:t>
            </w:r>
          </w:p>
        </w:tc>
        <w:tc>
          <w:tcPr>
            <w:tcW w:w="1417"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没有违法所得；逾期未改正违法行为，但在行政机关作出处罚决定前整改完毕，或具备其他从轻处罚适用情形的，可处2000元以下罚款。</w:t>
            </w:r>
          </w:p>
        </w:tc>
        <w:tc>
          <w:tcPr>
            <w:tcW w:w="2727"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1.通过开展“双随机一公开”执法检查、专项检查等加大日常监管。</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2.利用“互联网+监管”系统做好动态监管工作。</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3.加强行政指导，通过提醒、约谈、指导、建议等柔性执法措施，鼓励当事人主动纠错，消除或减轻社会危害。</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4.做好普法宣传工作。</w:t>
            </w:r>
          </w:p>
        </w:tc>
        <w:tc>
          <w:tcPr>
            <w:tcW w:w="803"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p>
        </w:tc>
      </w:tr>
      <w:tr>
        <w:trPr>
          <w:cantSplit/>
          <w:trHeight w:val="3725" w:hRule="atLeast"/>
          <w:tblHeader/>
          <w:jc w:val="center"/>
        </w:trPr>
        <w:tc>
          <w:tcPr>
            <w:tcW w:w="392" w:type="dxa"/>
            <w:vAlign w:val="center"/>
          </w:tcPr>
          <w:p>
            <w:pPr>
              <w:wordWrap/>
              <w:adjustRightInd/>
              <w:snapToGrid w:val="0"/>
              <w:spacing w:beforeAutospacing="0" w:afterAutospacing="0" w:line="240" w:lineRule="auto"/>
              <w:jc w:val="center"/>
              <w:rPr>
                <w:rFonts w:hint="eastAsia" w:ascii="方正书宋_GBK" w:hAnsi="方正书宋_GBK" w:eastAsia="仿宋" w:cs="仿宋"/>
                <w:spacing w:val="-6"/>
                <w:sz w:val="21"/>
                <w:szCs w:val="21"/>
              </w:rPr>
            </w:pPr>
            <w:r>
              <w:rPr>
                <w:rFonts w:hint="eastAsia" w:ascii="方正书宋_GBK" w:hAnsi="方正书宋_GBK" w:eastAsia="仿宋" w:cs="仿宋"/>
                <w:spacing w:val="-6"/>
                <w:sz w:val="21"/>
                <w:szCs w:val="21"/>
              </w:rPr>
              <w:t>2</w:t>
            </w:r>
          </w:p>
        </w:tc>
        <w:tc>
          <w:tcPr>
            <w:tcW w:w="850"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对人力资源中介服务组织介绍劳动者从事法律、法规禁止的职业处罚</w:t>
            </w:r>
          </w:p>
        </w:tc>
        <w:tc>
          <w:tcPr>
            <w:tcW w:w="4536"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《郑州市劳动用工条例》第九条第六项：人力资源中介服务组织不得有下列行为：(六)介绍劳动者从事法律、法规禁止的职业;</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郑州市劳动用工条例》第四十四条第（三）项：违反本条例规定，有下列行为之一的，按照下列规定处罚：（三）违反第九条……第（九）项规定的，由人力资源社会保障行政部门责令改正；没有违法所得的，可处以一万元以下罚款；有违法所得的，可处以不超过违法所得三倍的罚款，但最高不得超过三万元；情节严重的，提请工商行政管理部门依法吊销营业执照；对当事人造成损害的，依法承担赔偿责任。</w:t>
            </w:r>
          </w:p>
        </w:tc>
        <w:tc>
          <w:tcPr>
            <w:tcW w:w="2694"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存在以下情形之一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134"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《行政处罚法》第三十二条；</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《河南省人力资源社会保障行政处罚裁量权适用规则》第九条、第十二条</w:t>
            </w:r>
          </w:p>
        </w:tc>
        <w:tc>
          <w:tcPr>
            <w:tcW w:w="1417"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没有违法所得；逾期未改正违法行为，但在行政机关作出处罚决定前整改完毕，或具备其他从轻处罚适用情形的，可处2000元以下罚款。</w:t>
            </w:r>
          </w:p>
        </w:tc>
        <w:tc>
          <w:tcPr>
            <w:tcW w:w="2727"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1.通过开展“双随机一公开”执法检查、专项检查等加大日常监管。</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2.利用“互联网+监管”系统做好动态监管工作。</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3.加强行政指导，通过提醒、约谈、指导、建议等柔性执法措施，鼓励当事人主动纠错，消除或减轻社会危害。</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4.做好普法宣传工作。</w:t>
            </w:r>
          </w:p>
        </w:tc>
        <w:tc>
          <w:tcPr>
            <w:tcW w:w="803"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p>
        </w:tc>
      </w:tr>
      <w:tr>
        <w:trPr>
          <w:cantSplit/>
          <w:trHeight w:val="524" w:hRule="atLeast"/>
          <w:tblHeader/>
          <w:jc w:val="center"/>
        </w:trPr>
        <w:tc>
          <w:tcPr>
            <w:tcW w:w="14553" w:type="dxa"/>
            <w:gridSpan w:val="8"/>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从轻处罚事项清单</w:t>
            </w:r>
          </w:p>
        </w:tc>
      </w:tr>
      <w:tr>
        <w:trPr>
          <w:cantSplit/>
          <w:trHeight w:val="548" w:hRule="atLeast"/>
          <w:tblHeader/>
          <w:jc w:val="center"/>
        </w:trPr>
        <w:tc>
          <w:tcPr>
            <w:tcW w:w="392" w:type="dxa"/>
            <w:vAlign w:val="center"/>
          </w:tcPr>
          <w:p>
            <w:pPr>
              <w:wordWrap/>
              <w:adjustRightInd/>
              <w:snapToGrid w:val="0"/>
              <w:spacing w:beforeAutospacing="0" w:afterAutospacing="0" w:line="240" w:lineRule="auto"/>
              <w:jc w:val="center"/>
              <w:rPr>
                <w:rFonts w:hint="eastAsia" w:ascii="方正书宋_GBK" w:hAnsi="方正书宋_GBK" w:eastAsia="黑体" w:cs="仿宋"/>
                <w:sz w:val="21"/>
                <w:szCs w:val="21"/>
              </w:rPr>
            </w:pPr>
            <w:r>
              <w:rPr>
                <w:rFonts w:hint="eastAsia" w:ascii="方正书宋_GBK" w:hAnsi="方正书宋_GBK" w:eastAsia="黑体" w:cs="仿宋"/>
                <w:sz w:val="21"/>
                <w:szCs w:val="21"/>
              </w:rPr>
              <w:t>序号</w:t>
            </w:r>
          </w:p>
        </w:tc>
        <w:tc>
          <w:tcPr>
            <w:tcW w:w="850"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事项</w:t>
            </w:r>
          </w:p>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名称</w:t>
            </w:r>
          </w:p>
        </w:tc>
        <w:tc>
          <w:tcPr>
            <w:tcW w:w="4536"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设定依据</w:t>
            </w:r>
          </w:p>
        </w:tc>
        <w:tc>
          <w:tcPr>
            <w:tcW w:w="2694"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适用情形</w:t>
            </w:r>
          </w:p>
        </w:tc>
        <w:tc>
          <w:tcPr>
            <w:tcW w:w="1134"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 xml:space="preserve">从轻处罚依 </w:t>
            </w:r>
            <w:r>
              <w:rPr>
                <w:rFonts w:ascii="方正书宋_GBK" w:hAnsi="方正书宋_GBK" w:eastAsia="黑体" w:cs="仿宋_GB2312"/>
                <w:sz w:val="21"/>
                <w:szCs w:val="21"/>
              </w:rPr>
              <w:t xml:space="preserve">   </w:t>
            </w:r>
            <w:r>
              <w:rPr>
                <w:rFonts w:hint="eastAsia" w:ascii="方正书宋_GBK" w:hAnsi="方正书宋_GBK" w:eastAsia="黑体" w:cs="仿宋_GB2312"/>
                <w:sz w:val="21"/>
                <w:szCs w:val="21"/>
              </w:rPr>
              <w:t>据</w:t>
            </w:r>
          </w:p>
        </w:tc>
        <w:tc>
          <w:tcPr>
            <w:tcW w:w="1417"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裁量幅度</w:t>
            </w:r>
          </w:p>
        </w:tc>
        <w:tc>
          <w:tcPr>
            <w:tcW w:w="2727"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配套监管措施</w:t>
            </w:r>
          </w:p>
        </w:tc>
        <w:tc>
          <w:tcPr>
            <w:tcW w:w="803"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备 注</w:t>
            </w:r>
          </w:p>
        </w:tc>
      </w:tr>
      <w:tr>
        <w:trPr>
          <w:cantSplit/>
          <w:trHeight w:val="3298" w:hRule="atLeast"/>
          <w:tblHeader/>
          <w:jc w:val="center"/>
        </w:trPr>
        <w:tc>
          <w:tcPr>
            <w:tcW w:w="392" w:type="dxa"/>
            <w:vAlign w:val="center"/>
          </w:tcPr>
          <w:p>
            <w:pPr>
              <w:wordWrap/>
              <w:adjustRightInd/>
              <w:snapToGrid w:val="0"/>
              <w:spacing w:beforeAutospacing="0" w:afterAutospacing="0" w:line="240" w:lineRule="auto"/>
              <w:jc w:val="center"/>
              <w:rPr>
                <w:rFonts w:hint="eastAsia" w:ascii="方正书宋_GBK" w:hAnsi="方正书宋_GBK" w:eastAsia="仿宋" w:cs="仿宋"/>
                <w:spacing w:val="-6"/>
                <w:sz w:val="21"/>
                <w:szCs w:val="21"/>
              </w:rPr>
            </w:pPr>
            <w:r>
              <w:rPr>
                <w:rFonts w:hint="eastAsia" w:ascii="方正书宋_GBK" w:hAnsi="方正书宋_GBK" w:eastAsia="仿宋" w:cs="仿宋"/>
                <w:spacing w:val="-6"/>
                <w:sz w:val="21"/>
                <w:szCs w:val="21"/>
              </w:rPr>
              <w:t>3</w:t>
            </w:r>
          </w:p>
        </w:tc>
        <w:tc>
          <w:tcPr>
            <w:tcW w:w="850"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对用人单位未建立职工工作时间记录台账备查的处罚</w:t>
            </w:r>
          </w:p>
        </w:tc>
        <w:tc>
          <w:tcPr>
            <w:tcW w:w="4536"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《郑州市劳动用工条例》第十六条第二款：用人单位应当建立职工工作时间记录台账备查。职工工作时间记录台账包括每天上下班时间、加班时间等内容。</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郑州市劳动用工条例》第四十四条第（七）项：违反本条例规定，有下列行为之一的，按照下列规定处罚：（七）违反……第十六条第二款规定的，由人力资源社会保障行政部门责令限期改正；逾期不改正的，可处以一千元以下罚款。</w:t>
            </w:r>
          </w:p>
        </w:tc>
        <w:tc>
          <w:tcPr>
            <w:tcW w:w="2694"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存在以下情形之一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134"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《行政处罚法》第三十二条；</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《河南省人力资源社会保障行政处罚裁量权适用规则》第九条、第十二条</w:t>
            </w:r>
          </w:p>
        </w:tc>
        <w:tc>
          <w:tcPr>
            <w:tcW w:w="1417"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未造成危害后果和不良社会影响；逾期未改正，但在行政机关作出处罚决定前整改完毕，或具备其他从轻处罚适用情形的，处200元以下罚款。</w:t>
            </w:r>
          </w:p>
        </w:tc>
        <w:tc>
          <w:tcPr>
            <w:tcW w:w="2727"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1.通过开展“双随机一公开”执法检查、专项检查等加大日常监管。</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2.利用“互联网+监管”系统做好动态监管工作。</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3.加强行政指导，通过提醒、约谈、指导、建议等柔性执法措施，鼓励当事人主动纠错，消除或减轻社会危害。</w:t>
            </w:r>
          </w:p>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r>
              <w:rPr>
                <w:rFonts w:hint="eastAsia" w:ascii="方正书宋_GBK" w:hAnsi="方正书宋_GBK" w:eastAsia="仿宋" w:cs="仿宋_GB2312"/>
                <w:spacing w:val="-6"/>
                <w:sz w:val="21"/>
                <w:szCs w:val="21"/>
              </w:rPr>
              <w:t>4.做好普法宣传工作。</w:t>
            </w:r>
          </w:p>
        </w:tc>
        <w:tc>
          <w:tcPr>
            <w:tcW w:w="803" w:type="dxa"/>
            <w:vAlign w:val="center"/>
          </w:tcPr>
          <w:p>
            <w:pPr>
              <w:wordWrap/>
              <w:adjustRightInd/>
              <w:snapToGrid w:val="0"/>
              <w:spacing w:beforeAutospacing="0" w:afterAutospacing="0" w:line="240" w:lineRule="auto"/>
              <w:rPr>
                <w:rFonts w:hint="eastAsia" w:ascii="方正书宋_GBK" w:hAnsi="方正书宋_GBK" w:eastAsia="仿宋" w:cs="仿宋_GB2312"/>
                <w:spacing w:val="-6"/>
                <w:sz w:val="21"/>
                <w:szCs w:val="21"/>
              </w:rPr>
            </w:pPr>
          </w:p>
        </w:tc>
      </w:tr>
    </w:tbl>
    <w:p>
      <w:pPr>
        <w:pStyle w:val="4"/>
        <w:wordWrap/>
        <w:adjustRightInd/>
        <w:snapToGrid w:val="0"/>
        <w:spacing w:beforeAutospacing="0" w:afterAutospacing="0" w:line="240" w:lineRule="auto"/>
        <w:rPr>
          <w:rFonts w:hint="eastAsia" w:ascii="方正书宋_GBK" w:hAnsi="方正书宋_GBK" w:eastAsia="仿宋_GB2312" w:cs="仿宋_GB2312"/>
          <w:sz w:val="21"/>
          <w:szCs w:val="21"/>
        </w:rPr>
      </w:pPr>
    </w:p>
    <w:tbl>
      <w:tblPr>
        <w:tblW w:w="14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75"/>
        <w:gridCol w:w="3803"/>
        <w:gridCol w:w="2694"/>
        <w:gridCol w:w="1134"/>
        <w:gridCol w:w="1417"/>
        <w:gridCol w:w="2727"/>
        <w:gridCol w:w="803"/>
      </w:tblGrid>
      <w:tr>
        <w:trPr>
          <w:cantSplit/>
          <w:trHeight w:val="624" w:hRule="exact"/>
          <w:tblHeader/>
          <w:jc w:val="center"/>
        </w:trPr>
        <w:tc>
          <w:tcPr>
            <w:tcW w:w="14553" w:type="dxa"/>
            <w:gridSpan w:val="8"/>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减轻处罚事项清单</w:t>
            </w:r>
          </w:p>
        </w:tc>
      </w:tr>
      <w:tr>
        <w:trPr>
          <w:cantSplit/>
          <w:trHeight w:val="624" w:hRule="exact"/>
          <w:tblHeader/>
          <w:jc w:val="center"/>
        </w:trPr>
        <w:tc>
          <w:tcPr>
            <w:tcW w:w="700" w:type="dxa"/>
            <w:vAlign w:val="center"/>
          </w:tcPr>
          <w:p>
            <w:pPr>
              <w:wordWrap/>
              <w:adjustRightInd/>
              <w:snapToGrid w:val="0"/>
              <w:spacing w:beforeAutospacing="0" w:afterAutospacing="0" w:line="240" w:lineRule="auto"/>
              <w:jc w:val="center"/>
              <w:rPr>
                <w:rFonts w:hint="eastAsia" w:ascii="方正书宋_GBK" w:hAnsi="方正书宋_GBK" w:eastAsia="黑体" w:cs="仿宋"/>
                <w:sz w:val="21"/>
                <w:szCs w:val="21"/>
              </w:rPr>
            </w:pPr>
            <w:r>
              <w:rPr>
                <w:rFonts w:hint="eastAsia" w:ascii="方正书宋_GBK" w:hAnsi="方正书宋_GBK" w:eastAsia="黑体" w:cs="仿宋"/>
                <w:sz w:val="21"/>
                <w:szCs w:val="21"/>
              </w:rPr>
              <w:t>序号</w:t>
            </w:r>
          </w:p>
        </w:tc>
        <w:tc>
          <w:tcPr>
            <w:tcW w:w="1275"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事项名称</w:t>
            </w:r>
          </w:p>
        </w:tc>
        <w:tc>
          <w:tcPr>
            <w:tcW w:w="3803"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设定依据</w:t>
            </w:r>
          </w:p>
        </w:tc>
        <w:tc>
          <w:tcPr>
            <w:tcW w:w="2694"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适用情形</w:t>
            </w:r>
          </w:p>
        </w:tc>
        <w:tc>
          <w:tcPr>
            <w:tcW w:w="1134"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 xml:space="preserve">从轻处罚依 </w:t>
            </w:r>
            <w:r>
              <w:rPr>
                <w:rFonts w:ascii="方正书宋_GBK" w:hAnsi="方正书宋_GBK" w:eastAsia="黑体" w:cs="仿宋_GB2312"/>
                <w:sz w:val="21"/>
                <w:szCs w:val="21"/>
              </w:rPr>
              <w:t xml:space="preserve">   </w:t>
            </w:r>
            <w:r>
              <w:rPr>
                <w:rFonts w:hint="eastAsia" w:ascii="方正书宋_GBK" w:hAnsi="方正书宋_GBK" w:eastAsia="黑体" w:cs="仿宋_GB2312"/>
                <w:sz w:val="21"/>
                <w:szCs w:val="21"/>
              </w:rPr>
              <w:t>据</w:t>
            </w:r>
          </w:p>
        </w:tc>
        <w:tc>
          <w:tcPr>
            <w:tcW w:w="1417"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裁量幅度</w:t>
            </w:r>
          </w:p>
        </w:tc>
        <w:tc>
          <w:tcPr>
            <w:tcW w:w="2727"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配套监管措施</w:t>
            </w:r>
          </w:p>
        </w:tc>
        <w:tc>
          <w:tcPr>
            <w:tcW w:w="803"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备 注</w:t>
            </w:r>
          </w:p>
        </w:tc>
      </w:tr>
      <w:tr>
        <w:trPr>
          <w:cantSplit/>
          <w:trHeight w:val="624" w:hRule="exact"/>
          <w:tblHeader/>
          <w:jc w:val="center"/>
        </w:trPr>
        <w:tc>
          <w:tcPr>
            <w:tcW w:w="700" w:type="dxa"/>
            <w:vAlign w:val="center"/>
          </w:tcPr>
          <w:p>
            <w:pPr>
              <w:wordWrap/>
              <w:adjustRightInd/>
              <w:snapToGrid w:val="0"/>
              <w:spacing w:beforeAutospacing="0" w:afterAutospacing="0" w:line="240" w:lineRule="auto"/>
              <w:jc w:val="center"/>
              <w:rPr>
                <w:rFonts w:hint="eastAsia" w:ascii="方正书宋_GBK" w:hAnsi="方正书宋_GBK" w:eastAsia="仿宋" w:cs="仿宋"/>
                <w:sz w:val="21"/>
                <w:szCs w:val="21"/>
              </w:rPr>
            </w:pPr>
          </w:p>
        </w:tc>
        <w:tc>
          <w:tcPr>
            <w:tcW w:w="1275"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r>
              <w:rPr>
                <w:rFonts w:hint="eastAsia" w:ascii="方正书宋_GBK" w:hAnsi="方正书宋_GBK" w:eastAsia="仿宋_GB2312" w:cs="仿宋_GB2312"/>
                <w:sz w:val="21"/>
                <w:szCs w:val="21"/>
              </w:rPr>
              <w:t>无</w:t>
            </w:r>
          </w:p>
        </w:tc>
        <w:tc>
          <w:tcPr>
            <w:tcW w:w="3803"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2694"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1134"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1417"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2727"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803"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r>
    </w:tbl>
    <w:p>
      <w:pPr>
        <w:pStyle w:val="4"/>
        <w:wordWrap/>
        <w:adjustRightInd/>
        <w:snapToGrid w:val="0"/>
        <w:spacing w:beforeAutospacing="0" w:afterAutospacing="0" w:line="240" w:lineRule="auto"/>
        <w:ind w:firstLine="482"/>
        <w:rPr>
          <w:rFonts w:ascii="方正书宋_GBK" w:hAnsi="方正书宋_GBK" w:eastAsia="仿宋_GB2312" w:cs="仿宋_GB2312"/>
          <w:sz w:val="21"/>
          <w:szCs w:val="21"/>
        </w:rPr>
      </w:pPr>
    </w:p>
    <w:p>
      <w:pPr>
        <w:pStyle w:val="4"/>
        <w:wordWrap/>
        <w:adjustRightInd/>
        <w:snapToGrid w:val="0"/>
        <w:spacing w:beforeAutospacing="0" w:afterAutospacing="0" w:line="240" w:lineRule="auto"/>
        <w:ind w:firstLine="482"/>
        <w:rPr>
          <w:rFonts w:ascii="方正书宋_GBK" w:hAnsi="方正书宋_GBK" w:eastAsia="仿宋_GB2312" w:cs="仿宋_GB2312"/>
          <w:sz w:val="21"/>
          <w:szCs w:val="21"/>
        </w:rPr>
      </w:pPr>
    </w:p>
    <w:p>
      <w:pPr>
        <w:pStyle w:val="4"/>
        <w:wordWrap/>
        <w:adjustRightInd/>
        <w:snapToGrid w:val="0"/>
        <w:spacing w:beforeAutospacing="0" w:afterAutospacing="0" w:line="240" w:lineRule="auto"/>
        <w:ind w:firstLine="482"/>
        <w:rPr>
          <w:rFonts w:ascii="方正书宋_GBK" w:hAnsi="方正书宋_GBK" w:eastAsia="仿宋_GB2312" w:cs="仿宋_GB2312"/>
          <w:sz w:val="21"/>
          <w:szCs w:val="21"/>
        </w:rPr>
      </w:pPr>
    </w:p>
    <w:tbl>
      <w:tblPr>
        <w:tblW w:w="14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75"/>
        <w:gridCol w:w="3788"/>
        <w:gridCol w:w="2694"/>
        <w:gridCol w:w="1134"/>
        <w:gridCol w:w="1417"/>
        <w:gridCol w:w="2727"/>
        <w:gridCol w:w="803"/>
      </w:tblGrid>
      <w:tr>
        <w:trPr>
          <w:cantSplit/>
          <w:trHeight w:val="624" w:hRule="exact"/>
          <w:tblHeader/>
          <w:jc w:val="center"/>
        </w:trPr>
        <w:tc>
          <w:tcPr>
            <w:tcW w:w="14553" w:type="dxa"/>
            <w:gridSpan w:val="8"/>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不予行政强制事项清单</w:t>
            </w:r>
          </w:p>
        </w:tc>
      </w:tr>
      <w:tr>
        <w:trPr>
          <w:cantSplit/>
          <w:trHeight w:val="624" w:hRule="exact"/>
          <w:tblHeader/>
          <w:jc w:val="center"/>
        </w:trPr>
        <w:tc>
          <w:tcPr>
            <w:tcW w:w="715" w:type="dxa"/>
            <w:vAlign w:val="center"/>
          </w:tcPr>
          <w:p>
            <w:pPr>
              <w:wordWrap/>
              <w:adjustRightInd/>
              <w:snapToGrid w:val="0"/>
              <w:spacing w:beforeAutospacing="0" w:afterAutospacing="0" w:line="240" w:lineRule="auto"/>
              <w:jc w:val="center"/>
              <w:rPr>
                <w:rFonts w:hint="eastAsia" w:ascii="方正书宋_GBK" w:hAnsi="方正书宋_GBK" w:eastAsia="黑体" w:cs="仿宋"/>
                <w:sz w:val="21"/>
                <w:szCs w:val="21"/>
              </w:rPr>
            </w:pPr>
            <w:r>
              <w:rPr>
                <w:rFonts w:hint="eastAsia" w:ascii="方正书宋_GBK" w:hAnsi="方正书宋_GBK" w:eastAsia="黑体" w:cs="仿宋"/>
                <w:sz w:val="21"/>
                <w:szCs w:val="21"/>
              </w:rPr>
              <w:t>序号</w:t>
            </w:r>
          </w:p>
        </w:tc>
        <w:tc>
          <w:tcPr>
            <w:tcW w:w="1275"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事项名称</w:t>
            </w:r>
          </w:p>
        </w:tc>
        <w:tc>
          <w:tcPr>
            <w:tcW w:w="3788"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设定依据</w:t>
            </w:r>
          </w:p>
        </w:tc>
        <w:tc>
          <w:tcPr>
            <w:tcW w:w="2694"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适用情形</w:t>
            </w:r>
          </w:p>
        </w:tc>
        <w:tc>
          <w:tcPr>
            <w:tcW w:w="1134"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 xml:space="preserve">从轻处罚依 </w:t>
            </w:r>
            <w:r>
              <w:rPr>
                <w:rFonts w:ascii="方正书宋_GBK" w:hAnsi="方正书宋_GBK" w:eastAsia="黑体" w:cs="仿宋_GB2312"/>
                <w:sz w:val="21"/>
                <w:szCs w:val="21"/>
              </w:rPr>
              <w:t xml:space="preserve">   </w:t>
            </w:r>
            <w:r>
              <w:rPr>
                <w:rFonts w:hint="eastAsia" w:ascii="方正书宋_GBK" w:hAnsi="方正书宋_GBK" w:eastAsia="黑体" w:cs="仿宋_GB2312"/>
                <w:sz w:val="21"/>
                <w:szCs w:val="21"/>
              </w:rPr>
              <w:t>据</w:t>
            </w:r>
          </w:p>
        </w:tc>
        <w:tc>
          <w:tcPr>
            <w:tcW w:w="1417"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裁量幅度</w:t>
            </w:r>
          </w:p>
        </w:tc>
        <w:tc>
          <w:tcPr>
            <w:tcW w:w="2727"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配套监管措施</w:t>
            </w:r>
          </w:p>
        </w:tc>
        <w:tc>
          <w:tcPr>
            <w:tcW w:w="803" w:type="dxa"/>
            <w:vAlign w:val="center"/>
          </w:tcPr>
          <w:p>
            <w:pPr>
              <w:wordWrap/>
              <w:adjustRightInd/>
              <w:snapToGrid w:val="0"/>
              <w:spacing w:beforeAutospacing="0" w:afterAutospacing="0" w:line="240" w:lineRule="auto"/>
              <w:jc w:val="center"/>
              <w:rPr>
                <w:rFonts w:hint="eastAsia" w:ascii="方正书宋_GBK" w:hAnsi="方正书宋_GBK" w:eastAsia="黑体" w:cs="仿宋_GB2312"/>
                <w:sz w:val="21"/>
                <w:szCs w:val="21"/>
              </w:rPr>
            </w:pPr>
            <w:r>
              <w:rPr>
                <w:rFonts w:hint="eastAsia" w:ascii="方正书宋_GBK" w:hAnsi="方正书宋_GBK" w:eastAsia="黑体" w:cs="仿宋_GB2312"/>
                <w:sz w:val="21"/>
                <w:szCs w:val="21"/>
              </w:rPr>
              <w:t>备 注</w:t>
            </w:r>
          </w:p>
        </w:tc>
      </w:tr>
      <w:tr>
        <w:trPr>
          <w:cantSplit/>
          <w:trHeight w:val="624" w:hRule="exact"/>
          <w:tblHeader/>
          <w:jc w:val="center"/>
        </w:trPr>
        <w:tc>
          <w:tcPr>
            <w:tcW w:w="715" w:type="dxa"/>
            <w:vAlign w:val="center"/>
          </w:tcPr>
          <w:p>
            <w:pPr>
              <w:wordWrap/>
              <w:adjustRightInd/>
              <w:snapToGrid w:val="0"/>
              <w:spacing w:beforeAutospacing="0" w:afterAutospacing="0" w:line="240" w:lineRule="auto"/>
              <w:jc w:val="center"/>
              <w:rPr>
                <w:rFonts w:hint="eastAsia" w:ascii="方正书宋_GBK" w:hAnsi="方正书宋_GBK" w:eastAsia="仿宋" w:cs="仿宋"/>
                <w:sz w:val="21"/>
                <w:szCs w:val="21"/>
              </w:rPr>
            </w:pPr>
          </w:p>
        </w:tc>
        <w:tc>
          <w:tcPr>
            <w:tcW w:w="1275"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r>
              <w:rPr>
                <w:rFonts w:hint="eastAsia" w:ascii="方正书宋_GBK" w:hAnsi="方正书宋_GBK" w:eastAsia="仿宋_GB2312" w:cs="仿宋_GB2312"/>
                <w:sz w:val="21"/>
                <w:szCs w:val="21"/>
              </w:rPr>
              <w:t>无</w:t>
            </w:r>
          </w:p>
        </w:tc>
        <w:tc>
          <w:tcPr>
            <w:tcW w:w="3788"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2694"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1134"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1417"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2727"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c>
          <w:tcPr>
            <w:tcW w:w="803" w:type="dxa"/>
            <w:vAlign w:val="center"/>
          </w:tcPr>
          <w:p>
            <w:pPr>
              <w:wordWrap/>
              <w:adjustRightInd/>
              <w:snapToGrid w:val="0"/>
              <w:spacing w:beforeAutospacing="0" w:afterAutospacing="0" w:line="240" w:lineRule="auto"/>
              <w:rPr>
                <w:rFonts w:hint="eastAsia" w:ascii="方正书宋_GBK" w:hAnsi="方正书宋_GBK" w:eastAsia="仿宋_GB2312" w:cs="仿宋_GB2312"/>
                <w:sz w:val="21"/>
                <w:szCs w:val="21"/>
              </w:rPr>
            </w:pPr>
          </w:p>
        </w:tc>
      </w:tr>
    </w:tbl>
    <w:p>
      <w:pPr>
        <w:pStyle w:val="4"/>
        <w:wordWrap/>
        <w:adjustRightInd/>
        <w:snapToGrid w:val="0"/>
        <w:spacing w:beforeAutospacing="0" w:afterAutospacing="0" w:line="240" w:lineRule="auto"/>
        <w:rPr>
          <w:rFonts w:hint="eastAsia" w:ascii="方正黑体_GBK" w:hAnsi="方正黑体_GBK" w:eastAsia="方正黑体_GBK" w:cs="方正黑体_GBK"/>
          <w:sz w:val="32"/>
          <w:szCs w:val="32"/>
        </w:rPr>
      </w:pPr>
    </w:p>
    <w:p>
      <w:pPr>
        <w:pStyle w:val="4"/>
        <w:wordWrap/>
        <w:adjustRightInd/>
        <w:snapToGrid w:val="0"/>
        <w:spacing w:beforeAutospacing="0" w:afterAutospacing="0" w:line="240" w:lineRule="auto"/>
        <w:rPr>
          <w:rFonts w:hint="eastAsia" w:ascii="方正黑体_GBK" w:hAnsi="方正黑体_GBK" w:eastAsia="方正黑体_GBK" w:cs="方正黑体_GBK"/>
          <w:sz w:val="32"/>
          <w:szCs w:val="32"/>
        </w:rPr>
      </w:pPr>
    </w:p>
    <w:p>
      <w:pPr>
        <w:pStyle w:val="4"/>
        <w:wordWrap/>
        <w:adjustRightInd/>
        <w:snapToGrid w:val="0"/>
        <w:spacing w:beforeAutospacing="0" w:afterAutospacing="0" w:line="240" w:lineRule="auto"/>
        <w:rPr>
          <w:rFonts w:hint="eastAsia" w:ascii="方正黑体_GBK" w:hAnsi="方正黑体_GBK" w:eastAsia="方正黑体_GBK" w:cs="方正黑体_GBK"/>
          <w:sz w:val="32"/>
          <w:szCs w:val="32"/>
        </w:rPr>
      </w:pPr>
    </w:p>
    <w:p>
      <w:pPr>
        <w:pStyle w:val="4"/>
        <w:wordWrap/>
        <w:adjustRightInd/>
        <w:snapToGrid w:val="0"/>
        <w:spacing w:beforeAutospacing="0" w:afterAutospacing="0" w:line="240" w:lineRule="auto"/>
        <w:rPr>
          <w:rFonts w:hint="eastAsia" w:ascii="方正黑体_GBK" w:hAnsi="方正黑体_GBK" w:eastAsia="方正黑体_GBK" w:cs="方正黑体_GBK"/>
          <w:sz w:val="32"/>
          <w:szCs w:val="32"/>
        </w:rPr>
      </w:pPr>
    </w:p>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99"/>
    <w:pPr>
      <w:widowControl w:val="0"/>
      <w:snapToGrid w:val="0"/>
      <w:jc w:val="left"/>
    </w:pPr>
    <w:rPr>
      <w:rFonts w:ascii="Calibri" w:hAnsi="Calibri" w:eastAsia="宋体" w:cs="Times New Roman"/>
      <w:kern w:val="2"/>
      <w:sz w:val="18"/>
      <w:szCs w:val="18"/>
      <w:lang w:val="en-US" w:eastAsia="zh-CN" w:bidi="ar-SA"/>
    </w:rPr>
  </w:style>
  <w:style w:type="character" w:styleId="6">
    <w:name w:val="page number"/>
    <w:basedOn w:val="5"/>
    <w:uiPriority w:val="0"/>
    <w:rPr/>
  </w:style>
  <w:style w:type="paragraph" w:customStyle="1" w:styleId="7">
    <w:name w:val="正文首缩两字 Char"/>
    <w:basedOn w:val="1"/>
    <w:qFormat/>
    <w:uiPriority w:val="0"/>
    <w:rPr>
      <w:rFonts w:ascii="Verdana" w:hAnsi="Verdan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2022-12-09T04:30:00Z</dcterms:created>
  <dc:creator>Administrator</dc:creator>
  <cp:lastModifiedBy>Administrator</cp:lastModifiedBy>
  <dcterms:modified xsi:type="dcterms:W3CDTF">2022-12-09T08:59:28Z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4A333D58F55E464A870B51202D568ADA</vt:lpwstr>
  </property>
</Properties>
</file>