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ind w:firstLine="880" w:firstLineChars="200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上街区“万人助万企”活动实施方案</w:t>
      </w:r>
    </w:p>
    <w:p>
      <w:pPr>
        <w:widowControl/>
        <w:spacing w:beforeLines="50" w:line="560" w:lineRule="exact"/>
        <w:jc w:val="center"/>
        <w:rPr>
          <w:rFonts w:eastAsia="楷体_GB2312"/>
          <w:bCs/>
          <w:kern w:val="0"/>
          <w:sz w:val="34"/>
          <w:szCs w:val="34"/>
        </w:rPr>
      </w:pPr>
      <w:r>
        <w:rPr>
          <w:rStyle w:val="10"/>
          <w:rFonts w:eastAsia="楷体_GB2312"/>
          <w:b w:val="0"/>
          <w:bCs/>
          <w:kern w:val="0"/>
          <w:sz w:val="34"/>
          <w:szCs w:val="34"/>
        </w:rPr>
        <w:t>（</w:t>
      </w:r>
      <w:r>
        <w:rPr>
          <w:rStyle w:val="10"/>
          <w:rFonts w:hint="eastAsia" w:eastAsia="楷体_GB2312"/>
          <w:b w:val="0"/>
          <w:bCs/>
          <w:kern w:val="0"/>
          <w:sz w:val="34"/>
          <w:szCs w:val="34"/>
        </w:rPr>
        <w:t>征求意见稿</w:t>
      </w:r>
      <w:r>
        <w:rPr>
          <w:rStyle w:val="10"/>
          <w:rFonts w:eastAsia="楷体_GB2312"/>
          <w:b w:val="0"/>
          <w:bCs/>
          <w:kern w:val="0"/>
          <w:sz w:val="34"/>
          <w:szCs w:val="34"/>
        </w:rPr>
        <w:t>）</w:t>
      </w:r>
    </w:p>
    <w:p>
      <w:pPr>
        <w:pStyle w:val="6"/>
        <w:spacing w:line="560" w:lineRule="exact"/>
        <w:rPr>
          <w:rFonts w:ascii="仿宋_GB2312"/>
          <w:kern w:val="0"/>
          <w:sz w:val="34"/>
          <w:szCs w:val="34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0" w:firstLineChars="200"/>
        <w:textAlignment w:val="auto"/>
        <w:rPr>
          <w:rFonts w:ascii="仿宋_GB2312"/>
          <w:w w:val="100"/>
          <w:kern w:val="0"/>
          <w:sz w:val="32"/>
        </w:rPr>
      </w:pPr>
      <w:r>
        <w:rPr>
          <w:rFonts w:hint="eastAsia" w:ascii="仿宋_GB2312"/>
          <w:w w:val="100"/>
          <w:kern w:val="0"/>
          <w:sz w:val="32"/>
        </w:rPr>
        <w:t>为深入贯彻落实市委市政府“万人助万企”活动安排，进一步推动我区经济高质量发展，特制定上街区实施方案如下：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0" w:firstLineChars="200"/>
        <w:textAlignment w:val="auto"/>
        <w:rPr>
          <w:rFonts w:ascii="黑体" w:hAnsi="黑体" w:eastAsia="黑体"/>
          <w:w w:val="100"/>
          <w:sz w:val="32"/>
        </w:rPr>
      </w:pPr>
      <w:r>
        <w:rPr>
          <w:rFonts w:hint="eastAsia" w:ascii="黑体" w:hAnsi="黑体" w:eastAsia="黑体"/>
          <w:w w:val="100"/>
          <w:sz w:val="32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0" w:firstLineChars="200"/>
        <w:textAlignment w:val="auto"/>
        <w:rPr>
          <w:rFonts w:ascii="仿宋_GB2312" w:hAnsi="仿宋_GB2312" w:cs="仿宋_GB2312"/>
          <w:b w:val="0"/>
          <w:bCs/>
          <w:w w:val="100"/>
          <w:kern w:val="0"/>
          <w:sz w:val="32"/>
          <w:u w:val="none"/>
        </w:rPr>
      </w:pPr>
      <w:r>
        <w:rPr>
          <w:rFonts w:hint="eastAsia" w:ascii="仿宋_GB2312" w:hAnsi="仿宋_GB2312" w:cs="仿宋_GB2312"/>
          <w:w w:val="100"/>
          <w:kern w:val="0"/>
          <w:sz w:val="32"/>
        </w:rPr>
        <w:t>以习近平新时代中国特色社会主义思想为指导，深入贯彻习近平总书记关于河南、郑州重要讲话和指示批示精神，立足新发展阶段，贯彻新发展理念，融入新发展格局，按照市委、市政府关于“万人助万企”工作部署，进一步推动转变政府职能，持续推动“放管服”改革，常态化开展“三送一强”“一联三帮”保企稳业专项行动，着力优化营商环境，</w:t>
      </w:r>
      <w:r>
        <w:rPr>
          <w:rFonts w:hint="eastAsia" w:ascii="仿宋_GB2312" w:hAnsi="仿宋_GB2312" w:cs="仿宋_GB2312"/>
          <w:color w:val="000000"/>
          <w:w w:val="100"/>
          <w:kern w:val="0"/>
          <w:sz w:val="32"/>
        </w:rPr>
        <w:t>完善企业服务长效机制，</w:t>
      </w:r>
      <w:r>
        <w:rPr>
          <w:rFonts w:hint="eastAsia" w:ascii="仿宋_GB2312" w:hAnsi="仿宋_GB2312" w:cs="仿宋_GB2312"/>
          <w:w w:val="100"/>
          <w:kern w:val="0"/>
          <w:sz w:val="32"/>
        </w:rPr>
        <w:t>构建有利于企业发展的制度环境、政策环境和公共服务体系</w:t>
      </w:r>
      <w:r>
        <w:rPr>
          <w:rFonts w:hint="eastAsia" w:ascii="仿宋_GB2312" w:hAnsi="仿宋_GB2312" w:cs="仿宋_GB2312"/>
          <w:color w:val="000000"/>
          <w:w w:val="100"/>
          <w:kern w:val="0"/>
          <w:sz w:val="32"/>
        </w:rPr>
        <w:t>。</w:t>
      </w:r>
      <w:r>
        <w:rPr>
          <w:rFonts w:hint="eastAsia" w:ascii="仿宋_GB2312" w:hAnsi="仿宋_GB2312" w:cs="仿宋_GB2312"/>
          <w:w w:val="100"/>
          <w:kern w:val="0"/>
          <w:sz w:val="32"/>
        </w:rPr>
        <w:t>坚持问题导向、目标导向和结果导向，聚焦企业发展重点难点堵点痛点问题，结合党史学习教育“我为群众办实事”，组织百名机关事业单位干部走进百家企业，千方百计帮助企业拓市场、破瓶颈、解难题，有力提振企业发展信心，激发企业内生动力和创新创造活力，推动全区经济高质量发展，</w:t>
      </w:r>
      <w:r>
        <w:rPr>
          <w:rFonts w:hint="eastAsia" w:ascii="仿宋_GB2312" w:hAnsi="仿宋_GB2312" w:cs="仿宋_GB2312"/>
          <w:b w:val="0"/>
          <w:bCs/>
          <w:w w:val="100"/>
          <w:kern w:val="0"/>
          <w:sz w:val="32"/>
          <w:u w:val="none"/>
        </w:rPr>
        <w:t>努力实现“两个高地、四个美丽”目标，将上街建设成全省老工业城区转型升级先行区、全国领先的通航产业综合示范区、“一带一路”物流枢纽重要节点、现代宜居公园城区，</w:t>
      </w:r>
      <w:r>
        <w:rPr>
          <w:rFonts w:hint="eastAsia" w:ascii="仿宋_GB2312" w:hAnsi="仿宋_GB2312" w:cs="仿宋_GB2312"/>
          <w:b w:val="0"/>
          <w:bCs/>
          <w:w w:val="100"/>
          <w:sz w:val="32"/>
          <w:u w:val="none"/>
        </w:rPr>
        <w:t>为黄河流域生态保护和高质量发展提供支撑。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0" w:firstLineChars="200"/>
        <w:textAlignment w:val="auto"/>
        <w:rPr>
          <w:rFonts w:ascii="黑体" w:hAnsi="黑体" w:eastAsia="黑体"/>
          <w:w w:val="100"/>
          <w:sz w:val="32"/>
        </w:rPr>
      </w:pPr>
      <w:r>
        <w:rPr>
          <w:rFonts w:hint="eastAsia" w:ascii="黑体" w:hAnsi="黑体" w:eastAsia="黑体"/>
          <w:w w:val="100"/>
          <w:sz w:val="32"/>
        </w:rPr>
        <w:t>二、工作目标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0" w:firstLineChars="200"/>
        <w:textAlignment w:val="auto"/>
        <w:rPr>
          <w:rFonts w:ascii="仿宋_GB2312"/>
          <w:w w:val="100"/>
          <w:kern w:val="0"/>
          <w:sz w:val="32"/>
        </w:rPr>
      </w:pPr>
      <w:r>
        <w:rPr>
          <w:rFonts w:hint="eastAsia" w:ascii="楷体_GB2312" w:eastAsia="楷体_GB2312"/>
          <w:w w:val="100"/>
          <w:sz w:val="32"/>
        </w:rPr>
        <w:t>（一）经济运行质量更加稳健。</w:t>
      </w:r>
      <w:r>
        <w:rPr>
          <w:rFonts w:hint="eastAsia" w:ascii="仿宋_GB2312"/>
          <w:w w:val="100"/>
          <w:kern w:val="0"/>
          <w:sz w:val="32"/>
        </w:rPr>
        <w:t>聚焦主要经济指标晋位升级，强化工业运行、项目投资监测调度和预警预判，稳住重点企业、重点行业、重点领域。主要经济指标、固定资产投资、工业投资增速均高于全市平均水平。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0" w:firstLineChars="200"/>
        <w:textAlignment w:val="auto"/>
        <w:rPr>
          <w:rFonts w:ascii="仿宋_GB2312"/>
          <w:w w:val="100"/>
          <w:kern w:val="0"/>
          <w:sz w:val="32"/>
        </w:rPr>
      </w:pPr>
      <w:r>
        <w:rPr>
          <w:rFonts w:hint="eastAsia" w:ascii="楷体_GB2312" w:eastAsia="楷体_GB2312"/>
          <w:w w:val="100"/>
          <w:sz w:val="32"/>
        </w:rPr>
        <w:t>（二）营商环境水平持续提升。</w:t>
      </w:r>
      <w:r>
        <w:rPr>
          <w:rFonts w:hint="eastAsia" w:ascii="仿宋_GB2312"/>
          <w:w w:val="100"/>
          <w:kern w:val="0"/>
          <w:sz w:val="32"/>
        </w:rPr>
        <w:t>主动对接国内、省先进水平，在法治框架内进一步推进以规则衔接为重点的营商环境领域改革。基本建成国内一流的政务服务标杆城市，营商环境绩效评价结果进入全国第一方阵。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0" w:firstLineChars="200"/>
        <w:textAlignment w:val="auto"/>
        <w:rPr>
          <w:rFonts w:ascii="仿宋_GB2312"/>
          <w:w w:val="100"/>
          <w:kern w:val="0"/>
          <w:sz w:val="32"/>
        </w:rPr>
      </w:pPr>
      <w:r>
        <w:rPr>
          <w:rFonts w:hint="eastAsia" w:ascii="楷体_GB2312" w:eastAsia="楷体_GB2312"/>
          <w:w w:val="100"/>
          <w:sz w:val="32"/>
        </w:rPr>
        <w:t>（三）安全生产形势稳定向好。</w:t>
      </w:r>
      <w:r>
        <w:rPr>
          <w:rFonts w:hint="eastAsia" w:ascii="仿宋_GB2312" w:hAnsi="仿宋"/>
          <w:w w:val="100"/>
          <w:kern w:val="0"/>
          <w:sz w:val="32"/>
        </w:rPr>
        <w:t>落实属地和行业部门监管责任、企业主体责任，强化风险管控和隐患排查整治，</w:t>
      </w:r>
      <w:r>
        <w:rPr>
          <w:rFonts w:hint="eastAsia" w:ascii="仿宋_GB2312"/>
          <w:w w:val="100"/>
          <w:kern w:val="0"/>
          <w:sz w:val="32"/>
        </w:rPr>
        <w:t>坚决杜绝重大以上生产安全事故，事故起数、死亡人数和受伤人数实现“三下降”。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0" w:firstLineChars="200"/>
        <w:textAlignment w:val="auto"/>
        <w:rPr>
          <w:rFonts w:ascii="仿宋_GB2312"/>
          <w:w w:val="100"/>
          <w:kern w:val="0"/>
          <w:sz w:val="32"/>
        </w:rPr>
      </w:pPr>
      <w:r>
        <w:rPr>
          <w:rFonts w:hint="eastAsia" w:ascii="楷体_GB2312" w:eastAsia="楷体_GB2312"/>
          <w:w w:val="100"/>
          <w:sz w:val="32"/>
        </w:rPr>
        <w:t>（四）项目保障能力逐步增强。</w:t>
      </w:r>
      <w:r>
        <w:rPr>
          <w:rFonts w:hint="eastAsia" w:ascii="仿宋_GB2312"/>
          <w:w w:val="100"/>
          <w:kern w:val="0"/>
          <w:sz w:val="32"/>
        </w:rPr>
        <w:t>聚集“两新一重”、产业转型升级、创新能力、社会民生等重点领域，谋划实施高质量重点项目，坚持工作、资金、要素、服务、政策跟着项目走理念，全力保障项目早开工、快建设、强投资，确保省、市重点项目全年完成投资</w:t>
      </w:r>
      <w:r>
        <w:rPr>
          <w:rFonts w:hint="eastAsia" w:ascii="仿宋_GB2312"/>
          <w:w w:val="100"/>
          <w:kern w:val="0"/>
          <w:sz w:val="32"/>
          <w:lang w:val="en-US" w:eastAsia="zh-CN"/>
        </w:rPr>
        <w:t>37.6</w:t>
      </w:r>
      <w:r>
        <w:rPr>
          <w:rFonts w:hint="eastAsia" w:ascii="仿宋_GB2312"/>
          <w:w w:val="100"/>
          <w:kern w:val="0"/>
          <w:sz w:val="32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0" w:firstLineChars="200"/>
        <w:textAlignment w:val="auto"/>
        <w:rPr>
          <w:rFonts w:ascii="仿宋_GB2312" w:hAnsi="楷体"/>
          <w:w w:val="100"/>
          <w:kern w:val="0"/>
          <w:sz w:val="32"/>
        </w:rPr>
      </w:pPr>
      <w:r>
        <w:rPr>
          <w:rFonts w:hint="eastAsia" w:ascii="楷体_GB2312" w:eastAsia="楷体_GB2312"/>
          <w:w w:val="100"/>
          <w:sz w:val="32"/>
        </w:rPr>
        <w:t>（五）科技创新实力显著提升。</w:t>
      </w:r>
      <w:r>
        <w:rPr>
          <w:rFonts w:hint="eastAsia" w:ascii="仿宋_GB2312"/>
          <w:w w:val="100"/>
          <w:kern w:val="0"/>
          <w:sz w:val="32"/>
        </w:rPr>
        <w:t>围绕企业研发投入、核心技术攻关、科技成果转化、创新人才引育、研发平台建设等方面，加大支持力度，集聚创新资源，提升企业核心竞争力。2021年，新增高新技术企业20家、累计达到90家，新增科技型企业30家、总数突破170家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0" w:firstLineChars="200"/>
        <w:textAlignment w:val="auto"/>
        <w:rPr>
          <w:rFonts w:ascii="黑体" w:hAnsi="黑体" w:eastAsia="黑体"/>
          <w:w w:val="100"/>
          <w:sz w:val="32"/>
        </w:rPr>
      </w:pPr>
      <w:r>
        <w:rPr>
          <w:rFonts w:hint="eastAsia" w:ascii="黑体" w:hAnsi="黑体" w:eastAsia="黑体"/>
          <w:w w:val="100"/>
          <w:sz w:val="32"/>
        </w:rPr>
        <w:t>三、工作内容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0" w:firstLineChars="200"/>
        <w:textAlignment w:val="auto"/>
        <w:rPr>
          <w:rFonts w:ascii="楷体_GB2312" w:eastAsia="楷体_GB2312"/>
          <w:w w:val="100"/>
          <w:sz w:val="32"/>
        </w:rPr>
      </w:pPr>
      <w:r>
        <w:rPr>
          <w:rFonts w:hint="eastAsia" w:ascii="楷体_GB2312" w:eastAsia="楷体_GB2312"/>
          <w:w w:val="100"/>
          <w:sz w:val="32"/>
        </w:rPr>
        <w:t>（一）畅通政企沟通渠道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0" w:firstLineChars="200"/>
        <w:textAlignment w:val="auto"/>
        <w:rPr>
          <w:rFonts w:ascii="仿宋_GB2312" w:hAnsi="仿宋_GB2312" w:cs="仿宋_GB2312"/>
          <w:w w:val="100"/>
          <w:sz w:val="32"/>
        </w:rPr>
      </w:pPr>
      <w:r>
        <w:rPr>
          <w:rFonts w:hint="eastAsia" w:ascii="仿宋_GB2312" w:hAnsi="仿宋_GB2312" w:cs="仿宋_GB2312"/>
          <w:w w:val="100"/>
          <w:sz w:val="32"/>
        </w:rPr>
        <w:t>进一步畅通企业与政府沟通交流的渠道，牵头单位</w:t>
      </w:r>
      <w:r>
        <w:rPr>
          <w:rFonts w:hint="eastAsia" w:ascii="仿宋_GB2312" w:hAnsi="仿宋_GB2312" w:cs="仿宋_GB2312"/>
          <w:w w:val="100"/>
          <w:sz w:val="32"/>
          <w:lang w:eastAsia="zh-CN"/>
        </w:rPr>
        <w:t>定期</w:t>
      </w:r>
      <w:r>
        <w:rPr>
          <w:rFonts w:hint="eastAsia" w:ascii="仿宋_GB2312" w:hAnsi="仿宋_GB2312" w:cs="仿宋_GB2312"/>
          <w:w w:val="100"/>
          <w:sz w:val="32"/>
        </w:rPr>
        <w:t>召开企业家座谈会，及时解决企业反映的问题，为企业提供“店小二式”服务。常态化深入企业调研，动态掌握企业在生产经营中存在的困难和问题。</w:t>
      </w:r>
      <w:r>
        <w:rPr>
          <w:rFonts w:hint="eastAsia" w:ascii="仿宋_GB2312" w:cs="仿宋_GB2312"/>
          <w:color w:val="auto"/>
          <w:w w:val="100"/>
          <w:kern w:val="0"/>
          <w:sz w:val="32"/>
          <w:highlight w:val="none"/>
        </w:rPr>
        <w:t>依托“亲清在线”系统，</w:t>
      </w:r>
      <w:r>
        <w:rPr>
          <w:rFonts w:hint="eastAsia" w:ascii="仿宋_GB2312" w:cs="仿宋_GB2312"/>
          <w:color w:val="auto"/>
          <w:w w:val="100"/>
          <w:kern w:val="0"/>
          <w:sz w:val="32"/>
          <w:highlight w:val="none"/>
          <w:lang w:eastAsia="zh-CN"/>
        </w:rPr>
        <w:t>运用好</w:t>
      </w:r>
      <w:r>
        <w:rPr>
          <w:rFonts w:hint="eastAsia" w:ascii="仿宋_GB2312" w:cs="仿宋_GB2312"/>
          <w:color w:val="auto"/>
          <w:w w:val="100"/>
          <w:kern w:val="0"/>
          <w:sz w:val="32"/>
          <w:highlight w:val="none"/>
        </w:rPr>
        <w:t>惠企线上政策库，提供政策分类检索服务，向企业精准推送符合认定条件的相关政策。</w:t>
      </w:r>
      <w:r>
        <w:rPr>
          <w:rFonts w:hint="eastAsia" w:ascii="仿宋_GB2312" w:hAnsi="仿宋_GB2312" w:cs="仿宋_GB2312"/>
          <w:w w:val="100"/>
          <w:sz w:val="32"/>
        </w:rPr>
        <w:t>切实发挥好民营企业诉求平台作用，实现有诉必接、有求必应、有问必答、有难必帮。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0" w:firstLineChars="200"/>
        <w:textAlignment w:val="auto"/>
        <w:rPr>
          <w:rFonts w:ascii="楷体_GB2312" w:eastAsia="楷体_GB2312"/>
          <w:w w:val="100"/>
          <w:sz w:val="32"/>
        </w:rPr>
      </w:pPr>
      <w:r>
        <w:rPr>
          <w:rFonts w:hint="eastAsia" w:ascii="楷体_GB2312" w:eastAsia="楷体_GB2312"/>
          <w:w w:val="100"/>
          <w:sz w:val="32"/>
        </w:rPr>
        <w:t>（二）建立三类数据库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0" w:firstLineChars="200"/>
        <w:textAlignment w:val="auto"/>
        <w:rPr>
          <w:rFonts w:ascii="仿宋_GB2312" w:hAnsi="仿宋_GB2312" w:cs="仿宋_GB2312"/>
          <w:w w:val="100"/>
          <w:kern w:val="0"/>
          <w:sz w:val="32"/>
        </w:rPr>
      </w:pPr>
      <w:r>
        <w:rPr>
          <w:rFonts w:hint="eastAsia" w:ascii="仿宋_GB2312" w:hAnsi="仿宋_GB2312" w:cs="仿宋_GB2312"/>
          <w:w w:val="100"/>
          <w:kern w:val="0"/>
          <w:sz w:val="32"/>
        </w:rPr>
        <w:t>1.企业数据库。以市定领军型企业、区级骨干企业为重点，覆盖全区所有“四上”企业，形成帮扶企业数据库，包括区领导包联行业龙头企业，</w:t>
      </w:r>
      <w:r>
        <w:rPr>
          <w:rFonts w:hint="eastAsia" w:ascii="仿宋_GB2312" w:hAnsi="仿宋_GB2312" w:cs="仿宋_GB2312"/>
          <w:b w:val="0"/>
          <w:bCs/>
          <w:w w:val="100"/>
          <w:kern w:val="0"/>
          <w:sz w:val="32"/>
          <w:u w:val="none"/>
        </w:rPr>
        <w:t>6个工作组</w:t>
      </w:r>
      <w:r>
        <w:rPr>
          <w:rFonts w:hint="eastAsia" w:ascii="仿宋_GB2312" w:hAnsi="仿宋_GB2312" w:cs="仿宋_GB2312"/>
          <w:w w:val="100"/>
          <w:kern w:val="0"/>
          <w:sz w:val="32"/>
        </w:rPr>
        <w:t>包联骨干企业，区级包联重点企业、镇办包联</w:t>
      </w:r>
      <w:r>
        <w:rPr>
          <w:rFonts w:hint="eastAsia" w:ascii="仿宋_GB2312" w:hAnsi="仿宋_GB2312" w:cs="仿宋_GB2312"/>
          <w:w w:val="100"/>
          <w:kern w:val="0"/>
          <w:sz w:val="32"/>
          <w:lang w:eastAsia="zh-CN"/>
        </w:rPr>
        <w:t>覆盖所有</w:t>
      </w:r>
      <w:r>
        <w:rPr>
          <w:rFonts w:hint="eastAsia" w:ascii="仿宋_GB2312" w:hAnsi="仿宋_GB2312" w:cs="仿宋_GB2312"/>
          <w:w w:val="100"/>
          <w:kern w:val="0"/>
          <w:sz w:val="32"/>
        </w:rPr>
        <w:t>“四上”企业四大类。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0" w:firstLineChars="200"/>
        <w:textAlignment w:val="auto"/>
        <w:rPr>
          <w:rFonts w:ascii="仿宋_GB2312" w:hAnsi="仿宋_GB2312" w:cs="仿宋_GB2312"/>
          <w:w w:val="100"/>
          <w:kern w:val="0"/>
          <w:sz w:val="32"/>
        </w:rPr>
      </w:pPr>
      <w:r>
        <w:rPr>
          <w:rFonts w:hint="eastAsia" w:ascii="仿宋_GB2312" w:hAnsi="仿宋_GB2312" w:cs="仿宋_GB2312"/>
          <w:w w:val="100"/>
          <w:kern w:val="0"/>
          <w:sz w:val="32"/>
        </w:rPr>
        <w:t>2.问题数据库。利用好市级问题直报平台，畅通问题反映渠道，运用微信群等多种方式，重点收集政策落实、项目推进、要素保障等突出问题，形成问题数据库。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0" w:firstLineChars="200"/>
        <w:textAlignment w:val="auto"/>
        <w:rPr>
          <w:rFonts w:ascii="仿宋_GB2312" w:hAnsi="仿宋_GB2312" w:cs="仿宋_GB2312"/>
          <w:w w:val="100"/>
          <w:kern w:val="0"/>
          <w:sz w:val="32"/>
        </w:rPr>
      </w:pPr>
      <w:r>
        <w:rPr>
          <w:rFonts w:hint="eastAsia" w:ascii="仿宋_GB2312" w:hAnsi="仿宋_GB2312" w:cs="仿宋_GB2312"/>
          <w:w w:val="100"/>
          <w:kern w:val="0"/>
          <w:sz w:val="32"/>
        </w:rPr>
        <w:t>3.干部数据库。从区直、镇办、管委会选派机关事业单位干部</w:t>
      </w:r>
      <w:r>
        <w:rPr>
          <w:rFonts w:hint="eastAsia" w:ascii="仿宋_GB2312" w:hAnsi="仿宋_GB2312" w:cs="仿宋_GB2312"/>
          <w:b/>
          <w:w w:val="100"/>
          <w:kern w:val="0"/>
          <w:sz w:val="32"/>
          <w:u w:val="single"/>
        </w:rPr>
        <w:t>100名以上</w:t>
      </w:r>
      <w:r>
        <w:rPr>
          <w:rFonts w:hint="eastAsia" w:ascii="仿宋_GB2312" w:hAnsi="仿宋_GB2312" w:cs="仿宋_GB2312"/>
          <w:w w:val="100"/>
          <w:kern w:val="0"/>
          <w:sz w:val="32"/>
        </w:rPr>
        <w:t>，形成助企干部数据库。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0" w:firstLineChars="200"/>
        <w:textAlignment w:val="auto"/>
        <w:rPr>
          <w:rFonts w:ascii="楷体_GB2312" w:eastAsia="楷体_GB2312"/>
          <w:w w:val="100"/>
          <w:sz w:val="32"/>
        </w:rPr>
      </w:pPr>
      <w:r>
        <w:rPr>
          <w:rFonts w:hint="eastAsia" w:ascii="楷体_GB2312" w:eastAsia="楷体_GB2312"/>
          <w:w w:val="100"/>
          <w:sz w:val="32"/>
        </w:rPr>
        <w:t>（三）设置三个项目库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0" w:firstLineChars="200"/>
        <w:textAlignment w:val="auto"/>
        <w:rPr>
          <w:rFonts w:ascii="仿宋_GB2312" w:hAnsi="仿宋"/>
          <w:w w:val="100"/>
          <w:kern w:val="0"/>
          <w:sz w:val="32"/>
        </w:rPr>
      </w:pPr>
      <w:r>
        <w:rPr>
          <w:rFonts w:hint="eastAsia" w:ascii="仿宋_GB2312" w:hAnsi="仿宋"/>
          <w:w w:val="100"/>
          <w:kern w:val="0"/>
          <w:sz w:val="32"/>
        </w:rPr>
        <w:t>围绕签约、开工、竣工三种类型，根据项目引领带动作用，从省、市、区重点项目中，择优梳理一批制造业、服务业、基础设施重点项目，分门别类形成项目库；其中，开工项目突出重点招商项目、工业技改项目和小微企业园项目，实施动态调整机制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0" w:firstLineChars="200"/>
        <w:textAlignment w:val="auto"/>
        <w:rPr>
          <w:rFonts w:ascii="楷体_GB2312" w:eastAsia="楷体_GB2312"/>
          <w:w w:val="100"/>
          <w:sz w:val="32"/>
        </w:rPr>
      </w:pPr>
      <w:r>
        <w:rPr>
          <w:rFonts w:hint="eastAsia" w:ascii="楷体_GB2312" w:eastAsia="楷体_GB2312"/>
          <w:w w:val="100"/>
          <w:sz w:val="32"/>
        </w:rPr>
        <w:t>（四）制定三张清单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3" w:firstLineChars="200"/>
        <w:textAlignment w:val="auto"/>
        <w:rPr>
          <w:rFonts w:ascii="仿宋_GB2312" w:hAnsi="仿宋"/>
          <w:w w:val="100"/>
          <w:kern w:val="0"/>
          <w:sz w:val="32"/>
        </w:rPr>
      </w:pPr>
      <w:r>
        <w:rPr>
          <w:rFonts w:hint="eastAsia" w:ascii="仿宋_GB2312" w:hAnsi="仿宋"/>
          <w:b/>
          <w:bCs/>
          <w:w w:val="100"/>
          <w:kern w:val="0"/>
          <w:sz w:val="32"/>
        </w:rPr>
        <w:t>1.惠企政策清单。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各相关部门要大力宣传国家省市区惠企政策，做到宣传到位，落实到位，应享尽享。围绕退费退税、补贴补助、资金扶持等重点，</w:t>
      </w:r>
      <w:r>
        <w:rPr>
          <w:rFonts w:hint="eastAsia" w:ascii="仿宋_GB2312" w:hAnsi="仿宋_GB2312" w:cs="仿宋_GB2312"/>
          <w:w w:val="100"/>
          <w:sz w:val="32"/>
          <w:szCs w:val="32"/>
          <w:lang w:val="en-US" w:eastAsia="zh-CN"/>
        </w:rPr>
        <w:t>区发改委要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整合各类惠企利民政策和事项，统筹政策“制定”和“兑现”两个端点，确保惠企政策快速落地见效。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3" w:firstLineChars="200"/>
        <w:textAlignment w:val="auto"/>
        <w:rPr>
          <w:rFonts w:ascii="仿宋_GB2312" w:hAnsi="仿宋"/>
          <w:w w:val="100"/>
          <w:kern w:val="0"/>
          <w:sz w:val="32"/>
        </w:rPr>
      </w:pPr>
      <w:r>
        <w:rPr>
          <w:rFonts w:hint="eastAsia" w:ascii="仿宋_GB2312" w:hAnsi="仿宋"/>
          <w:b/>
          <w:bCs/>
          <w:w w:val="100"/>
          <w:kern w:val="0"/>
          <w:sz w:val="32"/>
        </w:rPr>
        <w:t>2.工作任务清单。</w:t>
      </w:r>
      <w:r>
        <w:rPr>
          <w:rFonts w:hint="eastAsia" w:ascii="仿宋_GB2312" w:hAnsi="仿宋"/>
          <w:w w:val="100"/>
          <w:kern w:val="0"/>
          <w:sz w:val="32"/>
        </w:rPr>
        <w:t>按照市方案明确的12个方面问题，确定区级、乡镇（街道）层面工作任务清单。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0" w:firstLineChars="200"/>
        <w:textAlignment w:val="auto"/>
        <w:rPr>
          <w:rFonts w:ascii="仿宋_GB2312" w:hAnsi="仿宋"/>
          <w:w w:val="100"/>
          <w:kern w:val="0"/>
          <w:sz w:val="32"/>
        </w:rPr>
      </w:pPr>
      <w:r>
        <w:rPr>
          <w:rFonts w:hint="eastAsia" w:ascii="仿宋_GB2312" w:hAnsi="仿宋"/>
          <w:w w:val="100"/>
          <w:kern w:val="0"/>
          <w:sz w:val="32"/>
        </w:rPr>
        <w:t>区级层面重点围绕：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0" w:firstLineChars="200"/>
        <w:textAlignment w:val="auto"/>
        <w:rPr>
          <w:rFonts w:ascii="仿宋_GB2312" w:hAnsi="仿宋"/>
          <w:w w:val="100"/>
          <w:kern w:val="0"/>
          <w:sz w:val="32"/>
        </w:rPr>
      </w:pPr>
      <w:r>
        <w:rPr>
          <w:rFonts w:hint="eastAsia" w:ascii="仿宋_GB2312" w:hAnsi="仿宋"/>
          <w:w w:val="100"/>
          <w:kern w:val="0"/>
          <w:sz w:val="32"/>
        </w:rPr>
        <w:t>（1）政府或相关部门已出台政策,但在实际执行过程中未落实到位的问题。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0" w:firstLineChars="200"/>
        <w:textAlignment w:val="auto"/>
        <w:rPr>
          <w:rFonts w:ascii="仿宋_GB2312" w:hAnsi="仿宋"/>
          <w:w w:val="100"/>
          <w:kern w:val="0"/>
          <w:sz w:val="32"/>
        </w:rPr>
      </w:pPr>
      <w:r>
        <w:rPr>
          <w:rFonts w:hint="eastAsia" w:ascii="仿宋_GB2312" w:hAnsi="仿宋"/>
          <w:w w:val="100"/>
          <w:kern w:val="0"/>
          <w:sz w:val="32"/>
        </w:rPr>
        <w:t>（2）在建立现代企业制度、推进企业股份制改革等方面遇到的问题。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0" w:firstLineChars="200"/>
        <w:textAlignment w:val="auto"/>
        <w:rPr>
          <w:rFonts w:ascii="仿宋_GB2312" w:hAnsi="仿宋"/>
          <w:w w:val="100"/>
          <w:kern w:val="0"/>
          <w:sz w:val="32"/>
        </w:rPr>
      </w:pPr>
      <w:r>
        <w:rPr>
          <w:rFonts w:hint="eastAsia" w:ascii="仿宋_GB2312" w:hAnsi="仿宋"/>
          <w:w w:val="100"/>
          <w:kern w:val="0"/>
          <w:sz w:val="32"/>
        </w:rPr>
        <w:t>（3）制约企业发展、项目建设的要素保障问题,如土地、资金、用工以及供水、供电、供热、供气等方面问题。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0" w:firstLineChars="200"/>
        <w:textAlignment w:val="auto"/>
        <w:rPr>
          <w:rFonts w:ascii="仿宋_GB2312" w:hAnsi="仿宋"/>
          <w:w w:val="100"/>
          <w:kern w:val="0"/>
          <w:sz w:val="32"/>
        </w:rPr>
      </w:pPr>
      <w:r>
        <w:rPr>
          <w:rFonts w:hint="eastAsia" w:ascii="仿宋_GB2312" w:hAnsi="仿宋"/>
          <w:w w:val="100"/>
          <w:kern w:val="0"/>
          <w:sz w:val="32"/>
        </w:rPr>
        <w:t>（4）在社会保障、技能培训、法律咨询、第三方服务等方面存在的问题。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0" w:firstLineChars="200"/>
        <w:textAlignment w:val="auto"/>
        <w:rPr>
          <w:rFonts w:ascii="仿宋_GB2312" w:hAnsi="仿宋"/>
          <w:w w:val="100"/>
          <w:kern w:val="0"/>
          <w:sz w:val="32"/>
        </w:rPr>
      </w:pPr>
      <w:r>
        <w:rPr>
          <w:rFonts w:hint="eastAsia" w:ascii="仿宋_GB2312" w:hAnsi="仿宋"/>
          <w:w w:val="100"/>
          <w:kern w:val="0"/>
          <w:sz w:val="32"/>
        </w:rPr>
        <w:t>（5）在生产经营中遇到的政府部门和国有企业拖欠账款、涉法涉诉维权等问题。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0" w:firstLineChars="200"/>
        <w:textAlignment w:val="auto"/>
        <w:rPr>
          <w:rFonts w:ascii="仿宋_GB2312" w:hAnsi="仿宋"/>
          <w:w w:val="100"/>
          <w:kern w:val="0"/>
          <w:sz w:val="32"/>
        </w:rPr>
      </w:pPr>
      <w:r>
        <w:rPr>
          <w:rFonts w:hint="eastAsia" w:ascii="仿宋_GB2312" w:hAnsi="仿宋"/>
          <w:w w:val="100"/>
          <w:kern w:val="0"/>
          <w:sz w:val="32"/>
        </w:rPr>
        <w:t>（6）在简化企业生产经营审批和条件，降低用工、税费、融资、要素、物流、融资等企业成本重关键环节存在的问题。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0" w:firstLineChars="200"/>
        <w:textAlignment w:val="auto"/>
        <w:rPr>
          <w:rFonts w:ascii="仿宋_GB2312" w:hAnsi="仿宋"/>
          <w:w w:val="100"/>
          <w:kern w:val="0"/>
          <w:sz w:val="32"/>
        </w:rPr>
      </w:pPr>
      <w:r>
        <w:rPr>
          <w:rFonts w:hint="eastAsia" w:ascii="仿宋_GB2312" w:hAnsi="仿宋"/>
          <w:w w:val="100"/>
          <w:kern w:val="0"/>
          <w:sz w:val="32"/>
        </w:rPr>
        <w:t>（7）其他影响企业发展需政府帮助解决的重大问题。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0" w:firstLineChars="200"/>
        <w:textAlignment w:val="auto"/>
        <w:rPr>
          <w:rFonts w:ascii="仿宋_GB2312" w:hAnsi="仿宋"/>
          <w:w w:val="100"/>
          <w:kern w:val="0"/>
          <w:sz w:val="32"/>
        </w:rPr>
      </w:pPr>
      <w:r>
        <w:rPr>
          <w:rFonts w:hint="eastAsia" w:ascii="仿宋_GB2312" w:hAnsi="仿宋"/>
          <w:w w:val="100"/>
          <w:kern w:val="0"/>
          <w:sz w:val="32"/>
        </w:rPr>
        <w:t>乡镇（街道）层面：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0" w:firstLineChars="200"/>
        <w:textAlignment w:val="auto"/>
        <w:rPr>
          <w:rFonts w:ascii="仿宋_GB2312" w:hAnsi="仿宋"/>
          <w:w w:val="100"/>
          <w:kern w:val="0"/>
          <w:sz w:val="32"/>
        </w:rPr>
      </w:pPr>
      <w:r>
        <w:rPr>
          <w:rFonts w:hint="eastAsia" w:ascii="仿宋_GB2312" w:hAnsi="仿宋"/>
          <w:w w:val="100"/>
          <w:kern w:val="0"/>
          <w:sz w:val="32"/>
        </w:rPr>
        <w:t>（1）在推动“放管服”改革，提高行政效能，优化营商环境中存在的问题。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0" w:firstLineChars="200"/>
        <w:textAlignment w:val="auto"/>
        <w:rPr>
          <w:rFonts w:ascii="仿宋_GB2312" w:hAnsi="仿宋"/>
          <w:w w:val="100"/>
          <w:kern w:val="0"/>
          <w:sz w:val="32"/>
        </w:rPr>
      </w:pPr>
      <w:r>
        <w:rPr>
          <w:rFonts w:hint="eastAsia" w:ascii="仿宋_GB2312" w:hAnsi="仿宋"/>
          <w:w w:val="100"/>
          <w:kern w:val="0"/>
          <w:sz w:val="32"/>
        </w:rPr>
        <w:t>（2）“个转企、小升规”企业培育中存在的问题。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0" w:firstLineChars="200"/>
        <w:textAlignment w:val="auto"/>
        <w:rPr>
          <w:rFonts w:ascii="仿宋_GB2312" w:hAnsi="仿宋"/>
          <w:w w:val="100"/>
          <w:kern w:val="0"/>
          <w:sz w:val="32"/>
        </w:rPr>
      </w:pPr>
      <w:r>
        <w:rPr>
          <w:rFonts w:hint="eastAsia" w:ascii="仿宋_GB2312" w:hAnsi="仿宋"/>
          <w:w w:val="100"/>
          <w:kern w:val="0"/>
          <w:sz w:val="32"/>
        </w:rPr>
        <w:t>（3）企业统计工作遇到的问题。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0" w:firstLineChars="200"/>
        <w:textAlignment w:val="auto"/>
        <w:rPr>
          <w:rFonts w:ascii="仿宋_GB2312" w:hAnsi="仿宋"/>
          <w:w w:val="100"/>
          <w:kern w:val="0"/>
          <w:sz w:val="32"/>
        </w:rPr>
      </w:pPr>
      <w:r>
        <w:rPr>
          <w:rFonts w:hint="eastAsia" w:ascii="仿宋_GB2312" w:hAnsi="仿宋"/>
          <w:w w:val="100"/>
          <w:kern w:val="0"/>
          <w:sz w:val="32"/>
        </w:rPr>
        <w:t>（4）在企业落实安全生产主体责任、隐患排查等方面存在的问题。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0" w:firstLineChars="200"/>
        <w:textAlignment w:val="auto"/>
        <w:rPr>
          <w:rFonts w:ascii="仿宋_GB2312" w:hAnsi="仿宋"/>
          <w:w w:val="100"/>
          <w:kern w:val="0"/>
          <w:sz w:val="32"/>
        </w:rPr>
      </w:pPr>
      <w:r>
        <w:rPr>
          <w:rFonts w:hint="eastAsia" w:ascii="仿宋_GB2312" w:hAnsi="仿宋"/>
          <w:w w:val="100"/>
          <w:kern w:val="0"/>
          <w:sz w:val="32"/>
        </w:rPr>
        <w:t>（5）降低用工、税费、融资、要素、物流、融资等企业成本重关键环节、减轻企业负担方面存在的问题。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0" w:firstLineChars="200"/>
        <w:textAlignment w:val="auto"/>
        <w:rPr>
          <w:rFonts w:ascii="仿宋_GB2312" w:hAnsi="仿宋"/>
          <w:w w:val="100"/>
          <w:kern w:val="0"/>
          <w:sz w:val="32"/>
        </w:rPr>
      </w:pPr>
      <w:r>
        <w:rPr>
          <w:rFonts w:hint="eastAsia" w:ascii="仿宋_GB2312" w:hAnsi="仿宋"/>
          <w:w w:val="100"/>
          <w:kern w:val="0"/>
          <w:sz w:val="32"/>
        </w:rPr>
        <w:t>（6）其他影响企业发展需政府帮助解决的重大问题。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3" w:firstLineChars="200"/>
        <w:textAlignment w:val="auto"/>
        <w:rPr>
          <w:rFonts w:ascii="仿宋_GB2312" w:hAnsi="仿宋"/>
          <w:color w:val="auto"/>
          <w:w w:val="100"/>
          <w:kern w:val="0"/>
          <w:sz w:val="32"/>
          <w:highlight w:val="none"/>
        </w:rPr>
      </w:pPr>
      <w:r>
        <w:rPr>
          <w:rFonts w:hint="eastAsia" w:ascii="仿宋_GB2312" w:hAnsi="仿宋"/>
          <w:b/>
          <w:bCs/>
          <w:w w:val="100"/>
          <w:kern w:val="0"/>
          <w:sz w:val="32"/>
        </w:rPr>
        <w:t>3.要素保障清单。</w:t>
      </w:r>
      <w:r>
        <w:rPr>
          <w:rFonts w:hint="eastAsia" w:ascii="仿宋_GB2312" w:hAnsi="仿宋"/>
          <w:w w:val="100"/>
          <w:kern w:val="0"/>
          <w:sz w:val="32"/>
        </w:rPr>
        <w:t>围绕企业在融资、用地、人才等方面需求，建立优质企业（项目）融资“白名单”及融资需求清单，</w:t>
      </w:r>
      <w:r>
        <w:rPr>
          <w:rFonts w:hint="eastAsia" w:ascii="仿宋_GB2312" w:hAnsi="仿宋" w:cs="仿宋_GB2312"/>
          <w:color w:val="auto"/>
          <w:w w:val="100"/>
          <w:kern w:val="0"/>
          <w:sz w:val="32"/>
          <w:highlight w:val="none"/>
        </w:rPr>
        <w:t>依托中小微企业金融综合服务平台，发布驻</w:t>
      </w:r>
      <w:r>
        <w:rPr>
          <w:rFonts w:hint="eastAsia" w:ascii="仿宋_GB2312" w:hAnsi="仿宋" w:cs="仿宋_GB2312"/>
          <w:color w:val="auto"/>
          <w:w w:val="100"/>
          <w:kern w:val="0"/>
          <w:sz w:val="32"/>
          <w:highlight w:val="none"/>
          <w:lang w:eastAsia="zh-CN"/>
        </w:rPr>
        <w:t>上</w:t>
      </w:r>
      <w:r>
        <w:rPr>
          <w:rFonts w:hint="eastAsia" w:ascii="仿宋_GB2312" w:hAnsi="仿宋" w:cs="仿宋_GB2312"/>
          <w:color w:val="auto"/>
          <w:w w:val="100"/>
          <w:kern w:val="0"/>
          <w:sz w:val="32"/>
          <w:highlight w:val="none"/>
        </w:rPr>
        <w:t>金融机构支持企业融资的金融产品清单；组织开展存量建设用地盘活攻坚行动、百园增效行动，积极推进土地要素市场化配置，形成企业（项目）用地需求清单和土地供应清单；发挥“黄河人才计划”系列政策优势，落实人才工作“一件事”，形成企业（项目）人力资源需求清单、重点产业急需紧缺人才清单和各类人才供给清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0" w:firstLineChars="200"/>
        <w:textAlignment w:val="auto"/>
        <w:rPr>
          <w:rFonts w:ascii="楷体_GB2312" w:eastAsia="楷体_GB2312"/>
          <w:w w:val="100"/>
          <w:sz w:val="32"/>
        </w:rPr>
      </w:pPr>
      <w:r>
        <w:rPr>
          <w:rFonts w:hint="eastAsia" w:ascii="楷体_GB2312" w:eastAsia="楷体_GB2312"/>
          <w:w w:val="100"/>
          <w:sz w:val="32"/>
        </w:rPr>
        <w:t>（五）形成四套机制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3" w:firstLineChars="200"/>
        <w:textAlignment w:val="auto"/>
        <w:rPr>
          <w:rFonts w:ascii="仿宋_GB2312" w:hAnsi="仿宋"/>
          <w:w w:val="100"/>
          <w:kern w:val="0"/>
          <w:sz w:val="32"/>
          <w:highlight w:val="yellow"/>
        </w:rPr>
      </w:pPr>
      <w:r>
        <w:rPr>
          <w:rFonts w:hint="eastAsia" w:ascii="仿宋_GB2312" w:hAnsi="仿宋"/>
          <w:b/>
          <w:bCs/>
          <w:w w:val="100"/>
          <w:kern w:val="0"/>
          <w:sz w:val="32"/>
        </w:rPr>
        <w:t>1.建立领导包联机制。</w:t>
      </w:r>
      <w:r>
        <w:rPr>
          <w:rFonts w:hint="eastAsia" w:ascii="仿宋_GB2312" w:hAnsi="仿宋"/>
          <w:w w:val="100"/>
          <w:kern w:val="0"/>
          <w:sz w:val="32"/>
        </w:rPr>
        <w:t>区委、区政府领导联系2家重点企业、1家拟上市企业、2个省市区重点项目，区人大、区政协、区法院、区检察院等区级领导各联系</w:t>
      </w:r>
      <w:r>
        <w:rPr>
          <w:rFonts w:hint="eastAsia" w:ascii="仿宋_GB2312" w:hAnsi="仿宋"/>
          <w:b w:val="0"/>
          <w:bCs/>
          <w:w w:val="100"/>
          <w:kern w:val="0"/>
          <w:sz w:val="32"/>
          <w:u w:val="none"/>
        </w:rPr>
        <w:t>2家重点企业和1个重点项目</w:t>
      </w:r>
      <w:r>
        <w:rPr>
          <w:rFonts w:hint="eastAsia" w:ascii="仿宋_GB2312" w:hAnsi="仿宋"/>
          <w:w w:val="100"/>
          <w:kern w:val="0"/>
          <w:sz w:val="32"/>
        </w:rPr>
        <w:t>（见附件1）。区政府分管副区长根据工作分工统筹推进农业、工业、建筑业、商贸物流业、科技创新等领域企业服务工作。区领导深入包联企业调研解决问题，区政府原则上每月召开工作调度会，每季度总结工作推进情况，每年度考核评价各部门任务完成情况。各镇办、管委会要</w:t>
      </w:r>
      <w:r>
        <w:rPr>
          <w:rFonts w:hint="eastAsia" w:ascii="仿宋_GB2312" w:hAnsi="仿宋"/>
          <w:w w:val="100"/>
          <w:kern w:val="0"/>
          <w:sz w:val="32"/>
          <w:lang w:eastAsia="zh-CN"/>
        </w:rPr>
        <w:t>制定各自活动方案，建立</w:t>
      </w:r>
      <w:r>
        <w:rPr>
          <w:rFonts w:hint="eastAsia" w:ascii="仿宋_GB2312" w:hAnsi="仿宋"/>
          <w:w w:val="100"/>
          <w:kern w:val="0"/>
          <w:sz w:val="32"/>
        </w:rPr>
        <w:t>相应工作推进机制，积极解决属地企业困难和问题。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3" w:firstLineChars="200"/>
        <w:textAlignment w:val="auto"/>
        <w:rPr>
          <w:rFonts w:ascii="仿宋_GB2312" w:hAnsi="仿宋"/>
          <w:w w:val="100"/>
          <w:kern w:val="0"/>
          <w:sz w:val="32"/>
        </w:rPr>
      </w:pPr>
      <w:r>
        <w:rPr>
          <w:rFonts w:hint="eastAsia" w:ascii="仿宋_GB2312" w:hAnsi="仿宋"/>
          <w:b/>
          <w:bCs/>
          <w:w w:val="100"/>
          <w:kern w:val="0"/>
          <w:sz w:val="32"/>
        </w:rPr>
        <w:t>2.专班服务机制。</w:t>
      </w:r>
      <w:r>
        <w:rPr>
          <w:rFonts w:hint="eastAsia" w:ascii="仿宋_GB2312" w:hAnsi="仿宋"/>
          <w:b w:val="0"/>
          <w:bCs/>
          <w:w w:val="100"/>
          <w:kern w:val="0"/>
          <w:sz w:val="32"/>
          <w:u w:val="none"/>
        </w:rPr>
        <w:t>组建6个工作组，</w:t>
      </w:r>
      <w:r>
        <w:rPr>
          <w:rFonts w:hint="eastAsia" w:ascii="仿宋_GB2312" w:hAnsi="仿宋"/>
          <w:w w:val="100"/>
          <w:kern w:val="0"/>
          <w:sz w:val="32"/>
        </w:rPr>
        <w:t>服务</w:t>
      </w:r>
      <w:r>
        <w:rPr>
          <w:rFonts w:ascii="仿宋_GB2312" w:hAnsi="仿宋"/>
          <w:w w:val="100"/>
          <w:kern w:val="0"/>
          <w:sz w:val="32"/>
        </w:rPr>
        <w:t>包联</w:t>
      </w:r>
      <w:r>
        <w:rPr>
          <w:rFonts w:hint="eastAsia" w:ascii="仿宋_GB2312" w:hAnsi="仿宋"/>
          <w:w w:val="100"/>
          <w:kern w:val="0"/>
          <w:sz w:val="32"/>
        </w:rPr>
        <w:t>企业</w:t>
      </w:r>
      <w:r>
        <w:rPr>
          <w:rFonts w:ascii="仿宋_GB2312" w:hAnsi="仿宋"/>
          <w:w w:val="100"/>
          <w:kern w:val="0"/>
          <w:sz w:val="32"/>
        </w:rPr>
        <w:t>的</w:t>
      </w:r>
      <w:r>
        <w:rPr>
          <w:rFonts w:hint="eastAsia" w:ascii="仿宋_GB2312" w:hAnsi="仿宋"/>
          <w:w w:val="100"/>
          <w:kern w:val="0"/>
          <w:sz w:val="32"/>
        </w:rPr>
        <w:t>区级领导和对口镇办，每个工作组设组长１名（综合协调组2名），由区直有关单位科级领导担任；工作组成员从相关部门抽调(见附件2)。</w:t>
      </w:r>
      <w:r>
        <w:rPr>
          <w:rFonts w:hint="eastAsia" w:ascii="仿宋_GB2312" w:hAnsi="仿宋"/>
          <w:w w:val="100"/>
          <w:kern w:val="0"/>
          <w:sz w:val="32"/>
          <w:lang w:eastAsia="zh-CN"/>
        </w:rPr>
        <w:t>区级</w:t>
      </w:r>
      <w:r>
        <w:rPr>
          <w:rFonts w:hint="eastAsia" w:ascii="仿宋_GB2312" w:hAnsi="仿宋"/>
          <w:w w:val="100"/>
          <w:kern w:val="0"/>
          <w:sz w:val="32"/>
        </w:rPr>
        <w:t>工作组</w:t>
      </w:r>
      <w:r>
        <w:rPr>
          <w:rFonts w:ascii="仿宋_GB2312" w:hAnsi="仿宋"/>
          <w:w w:val="100"/>
          <w:kern w:val="0"/>
          <w:sz w:val="32"/>
        </w:rPr>
        <w:t>联</w:t>
      </w:r>
      <w:r>
        <w:rPr>
          <w:rFonts w:hint="eastAsia" w:ascii="仿宋_GB2312" w:hAnsi="仿宋"/>
          <w:w w:val="100"/>
          <w:kern w:val="0"/>
          <w:sz w:val="32"/>
          <w:lang w:eastAsia="zh-CN"/>
        </w:rPr>
        <w:t>合</w:t>
      </w:r>
      <w:r>
        <w:rPr>
          <w:rFonts w:hint="eastAsia" w:ascii="仿宋_GB2312" w:hAnsi="仿宋"/>
          <w:w w:val="100"/>
          <w:kern w:val="0"/>
          <w:sz w:val="32"/>
        </w:rPr>
        <w:t>镇办</w:t>
      </w:r>
      <w:r>
        <w:rPr>
          <w:rFonts w:hint="eastAsia" w:ascii="仿宋_GB2312" w:hAnsi="仿宋"/>
          <w:b w:val="0"/>
          <w:bCs/>
          <w:w w:val="100"/>
          <w:kern w:val="0"/>
          <w:sz w:val="32"/>
          <w:u w:val="none"/>
        </w:rPr>
        <w:t>要</w:t>
      </w:r>
      <w:r>
        <w:rPr>
          <w:rFonts w:hint="eastAsia" w:ascii="仿宋_GB2312" w:hAnsi="仿宋"/>
          <w:b w:val="0"/>
          <w:bCs/>
          <w:w w:val="100"/>
          <w:kern w:val="0"/>
          <w:sz w:val="32"/>
          <w:u w:val="none"/>
          <w:lang w:eastAsia="zh-CN"/>
        </w:rPr>
        <w:t>分包所在辖区所有四上企业，</w:t>
      </w:r>
      <w:r>
        <w:rPr>
          <w:rFonts w:hint="eastAsia" w:ascii="仿宋_GB2312" w:hAnsi="仿宋"/>
          <w:b w:val="0"/>
          <w:bCs/>
          <w:w w:val="100"/>
          <w:kern w:val="0"/>
          <w:sz w:val="32"/>
          <w:u w:val="none"/>
        </w:rPr>
        <w:t>全覆盖实地走访，</w:t>
      </w:r>
      <w:r>
        <w:rPr>
          <w:rFonts w:hint="eastAsia" w:ascii="仿宋_GB2312" w:hAnsi="仿宋"/>
          <w:w w:val="100"/>
          <w:kern w:val="0"/>
          <w:sz w:val="32"/>
        </w:rPr>
        <w:t>摸清基本情况，汇总企业诉求，建立完善问题、责任和任务清单。针对企业问题，能现场解决的现场帮助解决，能就地解决的就地解决；需区级层面解决的，通过问题数据库，逐项划分问题类型，提出解决意见建议，提交区企业服务办报送区委、区政府，明确牵头区领导推动解决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3" w:firstLineChars="200"/>
        <w:textAlignment w:val="auto"/>
        <w:rPr>
          <w:rFonts w:ascii="仿宋_GB2312" w:hAnsi="仿宋"/>
          <w:w w:val="100"/>
          <w:kern w:val="0"/>
          <w:sz w:val="32"/>
        </w:rPr>
      </w:pPr>
      <w:r>
        <w:rPr>
          <w:rFonts w:hint="eastAsia" w:ascii="仿宋_GB2312" w:hAnsi="仿宋"/>
          <w:b/>
          <w:bCs/>
          <w:w w:val="100"/>
          <w:kern w:val="0"/>
          <w:sz w:val="32"/>
        </w:rPr>
        <w:t>3.建立督促督办机制。</w:t>
      </w:r>
      <w:r>
        <w:rPr>
          <w:rFonts w:hint="eastAsia" w:ascii="仿宋_GB2312" w:hAnsi="仿宋"/>
          <w:w w:val="100"/>
          <w:kern w:val="0"/>
          <w:sz w:val="32"/>
        </w:rPr>
        <w:t>将“万人助万企”活动纳入区委、区政府专项督查和年度集中督查，加强督促督办。各镇办、管委会也要制定助企活动实施方案，及时掌握进展情况，定期汇总企业需求、梳理存在共性问题，会同区直相关部门加强帮扶指导，推动问题解决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3" w:firstLineChars="200"/>
        <w:textAlignment w:val="auto"/>
        <w:rPr>
          <w:rFonts w:ascii="仿宋_GB2312" w:hAnsi="仿宋"/>
          <w:w w:val="100"/>
          <w:kern w:val="0"/>
          <w:sz w:val="32"/>
        </w:rPr>
      </w:pPr>
      <w:r>
        <w:rPr>
          <w:rFonts w:hint="eastAsia" w:ascii="仿宋_GB2312" w:hAnsi="仿宋"/>
          <w:b/>
          <w:bCs/>
          <w:w w:val="100"/>
          <w:kern w:val="0"/>
          <w:sz w:val="32"/>
        </w:rPr>
        <w:t>4.建立考评奖惩机制。</w:t>
      </w:r>
      <w:r>
        <w:rPr>
          <w:rFonts w:ascii="仿宋_GB2312" w:hAnsi="仿宋"/>
          <w:w w:val="100"/>
          <w:kern w:val="0"/>
          <w:sz w:val="32"/>
        </w:rPr>
        <w:t>将</w:t>
      </w:r>
      <w:r>
        <w:rPr>
          <w:rFonts w:hint="eastAsia" w:ascii="仿宋_GB2312" w:hAnsi="仿宋"/>
          <w:w w:val="100"/>
          <w:kern w:val="0"/>
          <w:sz w:val="32"/>
        </w:rPr>
        <w:t>“万人助万企”</w:t>
      </w:r>
      <w:r>
        <w:rPr>
          <w:rFonts w:ascii="仿宋_GB2312" w:hAnsi="仿宋"/>
          <w:w w:val="100"/>
          <w:kern w:val="0"/>
          <w:sz w:val="32"/>
        </w:rPr>
        <w:t>活动开展情况纳入</w:t>
      </w:r>
      <w:r>
        <w:rPr>
          <w:rFonts w:hint="eastAsia" w:ascii="仿宋_GB2312" w:hAnsi="仿宋"/>
          <w:w w:val="100"/>
          <w:kern w:val="0"/>
          <w:sz w:val="32"/>
        </w:rPr>
        <w:t>区</w:t>
      </w:r>
      <w:r>
        <w:rPr>
          <w:rFonts w:ascii="仿宋_GB2312" w:hAnsi="仿宋"/>
          <w:w w:val="100"/>
          <w:kern w:val="0"/>
          <w:sz w:val="32"/>
        </w:rPr>
        <w:t>政府重大事项月度</w:t>
      </w:r>
      <w:r>
        <w:rPr>
          <w:rFonts w:hint="eastAsia" w:ascii="仿宋_GB2312" w:hAnsi="仿宋"/>
          <w:w w:val="100"/>
          <w:kern w:val="0"/>
          <w:sz w:val="32"/>
        </w:rPr>
        <w:t>综合督查评比</w:t>
      </w:r>
      <w:r>
        <w:rPr>
          <w:rFonts w:ascii="仿宋_GB2312" w:hAnsi="仿宋"/>
          <w:w w:val="100"/>
          <w:kern w:val="0"/>
          <w:sz w:val="32"/>
        </w:rPr>
        <w:t>机制</w:t>
      </w:r>
      <w:r>
        <w:rPr>
          <w:rFonts w:hint="eastAsia" w:ascii="仿宋_GB2312" w:hAnsi="仿宋"/>
          <w:w w:val="100"/>
          <w:kern w:val="0"/>
          <w:sz w:val="32"/>
        </w:rPr>
        <w:t>、重大工业项目月调度机制</w:t>
      </w:r>
      <w:r>
        <w:rPr>
          <w:rFonts w:ascii="仿宋_GB2312" w:hAnsi="仿宋"/>
          <w:w w:val="100"/>
          <w:kern w:val="0"/>
          <w:sz w:val="32"/>
        </w:rPr>
        <w:t>，</w:t>
      </w:r>
      <w:r>
        <w:rPr>
          <w:rFonts w:hint="eastAsia" w:ascii="仿宋_GB2312" w:hAnsi="仿宋"/>
          <w:w w:val="100"/>
          <w:kern w:val="0"/>
          <w:sz w:val="32"/>
        </w:rPr>
        <w:t>区委、区政府每年对全区助企活动进行考核评价，结果作为区直部门、镇办和管委会领导班子考核评价重要参考。对先进单位和个人，以区委、区政府名义按有关规定予以通报</w:t>
      </w:r>
      <w:r>
        <w:rPr>
          <w:rFonts w:ascii="仿宋_GB2312" w:hAnsi="仿宋"/>
          <w:w w:val="100"/>
          <w:kern w:val="0"/>
          <w:sz w:val="32"/>
        </w:rPr>
        <w:t>表扬</w:t>
      </w:r>
      <w:r>
        <w:rPr>
          <w:rFonts w:hint="eastAsia" w:ascii="仿宋_GB2312" w:hAnsi="仿宋"/>
          <w:w w:val="100"/>
          <w:kern w:val="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0" w:firstLineChars="200"/>
        <w:textAlignment w:val="auto"/>
        <w:rPr>
          <w:rFonts w:ascii="黑体" w:hAnsi="黑体" w:eastAsia="黑体"/>
          <w:w w:val="100"/>
          <w:sz w:val="32"/>
        </w:rPr>
      </w:pPr>
      <w:r>
        <w:rPr>
          <w:rFonts w:hint="eastAsia" w:ascii="黑体" w:hAnsi="黑体" w:eastAsia="黑体"/>
          <w:w w:val="100"/>
          <w:sz w:val="32"/>
        </w:rPr>
        <w:t>四</w:t>
      </w:r>
      <w:r>
        <w:rPr>
          <w:rFonts w:ascii="黑体" w:hAnsi="黑体" w:eastAsia="黑体"/>
          <w:w w:val="100"/>
          <w:sz w:val="32"/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0" w:firstLineChars="200"/>
        <w:textAlignment w:val="auto"/>
        <w:rPr>
          <w:rFonts w:ascii="仿宋_GB2312"/>
          <w:w w:val="100"/>
          <w:sz w:val="32"/>
        </w:rPr>
      </w:pPr>
      <w:r>
        <w:rPr>
          <w:rFonts w:hint="eastAsia" w:ascii="楷体_GB2312" w:eastAsia="楷体_GB2312"/>
          <w:w w:val="100"/>
          <w:sz w:val="32"/>
        </w:rPr>
        <w:t>（一）加强组织领导，强化责任意识。</w:t>
      </w:r>
      <w:r>
        <w:rPr>
          <w:rFonts w:hint="eastAsia" w:ascii="仿宋_GB2312"/>
          <w:b w:val="0"/>
          <w:bCs/>
          <w:w w:val="100"/>
          <w:sz w:val="32"/>
          <w:u w:val="none"/>
        </w:rPr>
        <w:t>区委、区政府成立区企业服务办（设在区科工信局）</w:t>
      </w:r>
      <w:r>
        <w:rPr>
          <w:rFonts w:hint="eastAsia" w:ascii="仿宋_GB2312"/>
          <w:w w:val="100"/>
          <w:sz w:val="32"/>
        </w:rPr>
        <w:t>，</w:t>
      </w:r>
      <w:r>
        <w:rPr>
          <w:rFonts w:hint="eastAsia" w:ascii="仿宋_GB2312"/>
          <w:w w:val="100"/>
          <w:kern w:val="0"/>
          <w:sz w:val="32"/>
        </w:rPr>
        <w:t>各部门</w:t>
      </w:r>
      <w:r>
        <w:rPr>
          <w:rFonts w:hint="eastAsia" w:ascii="仿宋_GB2312"/>
          <w:w w:val="100"/>
          <w:sz w:val="32"/>
        </w:rPr>
        <w:t>要高度重视，建立相应工作机制，</w:t>
      </w:r>
      <w:r>
        <w:rPr>
          <w:rFonts w:hint="eastAsia" w:ascii="仿宋_GB2312"/>
          <w:w w:val="100"/>
          <w:kern w:val="0"/>
          <w:sz w:val="32"/>
        </w:rPr>
        <w:t>成立工作专班，制订实施</w:t>
      </w:r>
      <w:r>
        <w:rPr>
          <w:rFonts w:hint="eastAsia" w:ascii="仿宋_GB2312"/>
          <w:w w:val="100"/>
          <w:sz w:val="32"/>
        </w:rPr>
        <w:t>方案，明确工作任务，提高工作标准，职能部门领导要带头为企业办实事办好事。要</w:t>
      </w:r>
      <w:r>
        <w:rPr>
          <w:rFonts w:hint="eastAsia" w:ascii="仿宋_GB2312"/>
          <w:w w:val="100"/>
          <w:kern w:val="0"/>
          <w:sz w:val="32"/>
        </w:rPr>
        <w:t>将</w:t>
      </w:r>
      <w:r>
        <w:rPr>
          <w:rFonts w:hint="eastAsia" w:ascii="仿宋_GB2312"/>
          <w:w w:val="100"/>
          <w:sz w:val="32"/>
        </w:rPr>
        <w:t>“问题解决率”和“企业满意率”作为衡量活动成效的重要指标，作为党史学习教育成效的重要载体。区企业服务办</w:t>
      </w:r>
      <w:r>
        <w:rPr>
          <w:rFonts w:hint="eastAsia" w:ascii="仿宋_GB2312"/>
          <w:w w:val="100"/>
          <w:kern w:val="0"/>
          <w:sz w:val="32"/>
        </w:rPr>
        <w:t>要会同工作组发挥牵头作用，做到协调联动、有序推进，</w:t>
      </w:r>
      <w:r>
        <w:rPr>
          <w:rFonts w:hint="eastAsia" w:ascii="仿宋_GB2312"/>
          <w:w w:val="100"/>
          <w:sz w:val="32"/>
        </w:rPr>
        <w:t>定期通报全区助企活动情况和成效，抓好抓实“万人助万企”活动。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0" w:firstLineChars="200"/>
        <w:textAlignment w:val="auto"/>
        <w:rPr>
          <w:rFonts w:ascii="仿宋_GB2312" w:hAnsi="仿宋_GB2312" w:cs="仿宋_GB2312"/>
          <w:w w:val="100"/>
          <w:sz w:val="32"/>
        </w:rPr>
      </w:pPr>
      <w:r>
        <w:rPr>
          <w:rFonts w:hint="eastAsia" w:ascii="楷体_GB2312" w:eastAsia="楷体_GB2312"/>
          <w:w w:val="100"/>
          <w:sz w:val="32"/>
        </w:rPr>
        <w:t>（二）明确任务节点，强化统筹推进。</w:t>
      </w:r>
      <w:r>
        <w:rPr>
          <w:rFonts w:hint="eastAsia" w:ascii="仿宋_GB2312" w:hAnsi="仿宋_GB2312" w:cs="仿宋_GB2312"/>
          <w:w w:val="100"/>
          <w:sz w:val="32"/>
        </w:rPr>
        <w:t>按照区实施方案要求，6月底前确定企业名单，明确助企干部，完善工作机制，确保“四上企业”全覆盖。</w:t>
      </w:r>
      <w:r>
        <w:rPr>
          <w:rFonts w:hint="eastAsia" w:ascii="仿宋_GB2312" w:hAnsi="仿宋_GB2312" w:cs="仿宋_GB2312"/>
          <w:b w:val="0"/>
          <w:bCs/>
          <w:w w:val="100"/>
          <w:sz w:val="32"/>
          <w:u w:val="none"/>
        </w:rPr>
        <w:t>7月5日前</w:t>
      </w:r>
      <w:r>
        <w:rPr>
          <w:rFonts w:hint="eastAsia" w:ascii="仿宋_GB2312" w:hAnsi="仿宋_GB2312" w:cs="仿宋_GB2312"/>
          <w:w w:val="100"/>
          <w:sz w:val="32"/>
        </w:rPr>
        <w:t>助企干部全部深入企业开展工</w:t>
      </w:r>
      <w:r>
        <w:rPr>
          <w:rFonts w:hint="eastAsia" w:ascii="仿宋_GB2312" w:hAnsi="仿宋_GB2312" w:cs="仿宋_GB2312"/>
          <w:w w:val="100"/>
          <w:kern w:val="0"/>
          <w:sz w:val="32"/>
        </w:rPr>
        <w:t>作。7月底前工作组深入开展调查研究，梳理主要经济指标完成情况及相关行业、重点企业发展现状、存在困难及问题，提出意见建议报区政府，明确问题牵头区级领导。8月底前，建立完善考核办法。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0" w:firstLineChars="200"/>
        <w:textAlignment w:val="auto"/>
        <w:rPr>
          <w:rFonts w:hint="eastAsia" w:ascii="仿宋_GB2312"/>
          <w:w w:val="100"/>
          <w:kern w:val="0"/>
          <w:sz w:val="32"/>
        </w:rPr>
      </w:pPr>
      <w:r>
        <w:rPr>
          <w:rFonts w:hint="eastAsia" w:ascii="楷体_GB2312" w:eastAsia="楷体_GB2312"/>
          <w:w w:val="100"/>
          <w:sz w:val="32"/>
        </w:rPr>
        <w:t>（三）营造浓厚氛围，强化纪律落实。</w:t>
      </w:r>
      <w:r>
        <w:rPr>
          <w:rFonts w:hint="eastAsia" w:ascii="仿宋_GB2312"/>
          <w:w w:val="100"/>
          <w:sz w:val="32"/>
        </w:rPr>
        <w:t>宣传部门要加大宣传力度，深入报道“万人助万企”活动中的好经验、好做法，专题宣传企业服务工作典型案例和企业在转型解困、管理创新等方面的成功经验。</w:t>
      </w:r>
      <w:r>
        <w:rPr>
          <w:rFonts w:hint="eastAsia" w:ascii="仿宋_GB2312"/>
          <w:w w:val="100"/>
          <w:kern w:val="0"/>
          <w:sz w:val="32"/>
        </w:rPr>
        <w:t>严格遵守中央八项规定及实施细则，以严实作风推动工作落实。持续做好常态化疫情防控，严格落实防控措施，确保“万人助企活动”扎实有效向前推进。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0" w:firstLineChars="200"/>
        <w:textAlignment w:val="auto"/>
        <w:rPr>
          <w:rFonts w:ascii="仿宋_GB2312"/>
          <w:w w:val="100"/>
          <w:kern w:val="0"/>
          <w:sz w:val="32"/>
        </w:rPr>
      </w:pPr>
      <w:r>
        <w:rPr>
          <w:rFonts w:hint="eastAsia" w:ascii="仿宋_GB2312"/>
          <w:w w:val="100"/>
          <w:sz w:val="32"/>
        </w:rPr>
        <w:t>附件:</w:t>
      </w:r>
      <w:r>
        <w:rPr>
          <w:rFonts w:hint="eastAsia" w:ascii="仿宋_GB2312"/>
          <w:w w:val="100"/>
          <w:kern w:val="0"/>
          <w:sz w:val="32"/>
        </w:rPr>
        <w:t>1.区级领导联系企业（项目）名单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7" w:lineRule="exact"/>
        <w:ind w:firstLine="640" w:firstLineChars="200"/>
        <w:textAlignment w:val="auto"/>
        <w:rPr>
          <w:rFonts w:ascii="仿宋_GB2312"/>
          <w:w w:val="100"/>
          <w:kern w:val="0"/>
          <w:sz w:val="32"/>
        </w:rPr>
      </w:pPr>
      <w:r>
        <w:rPr>
          <w:rFonts w:hint="eastAsia" w:ascii="仿宋_GB2312"/>
          <w:w w:val="100"/>
          <w:sz w:val="32"/>
        </w:rPr>
        <w:t xml:space="preserve">     </w:t>
      </w:r>
      <w:r>
        <w:rPr>
          <w:rFonts w:hint="eastAsia" w:ascii="仿宋_GB2312"/>
          <w:w w:val="100"/>
          <w:kern w:val="0"/>
          <w:sz w:val="32"/>
        </w:rPr>
        <w:t>2.“万人助万企”活动工作组名单</w:t>
      </w:r>
    </w:p>
    <w:p>
      <w:pPr>
        <w:spacing w:line="580" w:lineRule="exact"/>
        <w:rPr>
          <w:rFonts w:hint="eastAsia" w:ascii="黑体" w:hAnsi="黑体" w:eastAsia="黑体"/>
          <w:color w:val="000000"/>
          <w:kern w:val="0"/>
          <w:sz w:val="34"/>
          <w:szCs w:val="34"/>
        </w:rPr>
      </w:pPr>
    </w:p>
    <w:p>
      <w:pPr>
        <w:spacing w:line="580" w:lineRule="exact"/>
        <w:rPr>
          <w:rFonts w:hint="eastAsia" w:ascii="黑体" w:hAnsi="黑体" w:eastAsia="黑体"/>
          <w:color w:val="000000"/>
          <w:kern w:val="0"/>
          <w:sz w:val="34"/>
          <w:szCs w:val="34"/>
        </w:rPr>
      </w:pPr>
    </w:p>
    <w:p>
      <w:pPr>
        <w:spacing w:line="580" w:lineRule="exact"/>
        <w:rPr>
          <w:rFonts w:hint="eastAsia" w:ascii="黑体" w:hAnsi="黑体" w:eastAsia="黑体"/>
          <w:color w:val="000000"/>
          <w:kern w:val="0"/>
          <w:sz w:val="34"/>
          <w:szCs w:val="34"/>
        </w:rPr>
      </w:pPr>
    </w:p>
    <w:p>
      <w:pPr>
        <w:spacing w:line="580" w:lineRule="exact"/>
        <w:rPr>
          <w:rFonts w:hint="eastAsia" w:ascii="黑体" w:hAnsi="黑体" w:eastAsia="黑体"/>
          <w:color w:val="000000"/>
          <w:kern w:val="0"/>
          <w:sz w:val="34"/>
          <w:szCs w:val="34"/>
        </w:rPr>
      </w:pPr>
    </w:p>
    <w:p>
      <w:pPr>
        <w:spacing w:line="580" w:lineRule="exact"/>
        <w:rPr>
          <w:rFonts w:hint="eastAsia" w:ascii="黑体" w:hAnsi="黑体" w:eastAsia="黑体"/>
          <w:color w:val="000000"/>
          <w:kern w:val="0"/>
          <w:sz w:val="34"/>
          <w:szCs w:val="34"/>
        </w:rPr>
      </w:pPr>
    </w:p>
    <w:p>
      <w:pPr>
        <w:spacing w:line="580" w:lineRule="exact"/>
        <w:rPr>
          <w:rFonts w:hint="eastAsia" w:ascii="黑体" w:hAnsi="黑体" w:eastAsia="黑体"/>
          <w:color w:val="000000"/>
          <w:kern w:val="0"/>
          <w:sz w:val="34"/>
          <w:szCs w:val="34"/>
        </w:rPr>
      </w:pPr>
    </w:p>
    <w:p>
      <w:pPr>
        <w:spacing w:line="580" w:lineRule="exact"/>
        <w:rPr>
          <w:rFonts w:hint="eastAsia" w:ascii="黑体" w:hAnsi="黑体" w:eastAsia="黑体"/>
          <w:color w:val="000000"/>
          <w:kern w:val="0"/>
          <w:sz w:val="34"/>
          <w:szCs w:val="34"/>
        </w:rPr>
      </w:pPr>
    </w:p>
    <w:p>
      <w:pPr>
        <w:spacing w:line="580" w:lineRule="exact"/>
        <w:rPr>
          <w:rFonts w:hint="eastAsia" w:ascii="黑体" w:hAnsi="黑体" w:eastAsia="黑体"/>
          <w:color w:val="000000"/>
          <w:kern w:val="0"/>
          <w:sz w:val="34"/>
          <w:szCs w:val="34"/>
        </w:rPr>
      </w:pPr>
    </w:p>
    <w:p>
      <w:pPr>
        <w:spacing w:line="580" w:lineRule="exact"/>
        <w:rPr>
          <w:rFonts w:hint="eastAsia" w:ascii="黑体" w:hAnsi="黑体" w:eastAsia="黑体"/>
          <w:color w:val="000000"/>
          <w:kern w:val="0"/>
          <w:sz w:val="34"/>
          <w:szCs w:val="34"/>
        </w:rPr>
      </w:pPr>
    </w:p>
    <w:p>
      <w:pPr>
        <w:spacing w:line="580" w:lineRule="exact"/>
        <w:rPr>
          <w:rFonts w:hint="eastAsia" w:ascii="黑体" w:hAnsi="黑体" w:eastAsia="黑体"/>
          <w:color w:val="000000"/>
          <w:kern w:val="0"/>
          <w:sz w:val="34"/>
          <w:szCs w:val="34"/>
        </w:rPr>
      </w:pPr>
    </w:p>
    <w:p>
      <w:pPr>
        <w:spacing w:line="580" w:lineRule="exact"/>
        <w:rPr>
          <w:rFonts w:hint="eastAsia" w:ascii="黑体" w:hAnsi="黑体" w:eastAsia="黑体"/>
          <w:color w:val="000000"/>
          <w:kern w:val="0"/>
          <w:sz w:val="34"/>
          <w:szCs w:val="34"/>
        </w:rPr>
      </w:pPr>
    </w:p>
    <w:p>
      <w:pPr>
        <w:spacing w:line="580" w:lineRule="exact"/>
        <w:rPr>
          <w:rFonts w:hint="eastAsia" w:ascii="黑体" w:hAnsi="黑体" w:eastAsia="黑体"/>
          <w:color w:val="000000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/>
          <w:color w:val="000000"/>
          <w:kern w:val="0"/>
          <w:sz w:val="34"/>
          <w:szCs w:val="34"/>
          <w:lang w:val="en-US" w:eastAsia="zh-CN"/>
        </w:rPr>
      </w:pPr>
      <w:r>
        <w:rPr>
          <w:rFonts w:hint="eastAsia" w:ascii="黑体" w:hAnsi="黑体" w:eastAsia="黑体"/>
          <w:color w:val="000000"/>
          <w:kern w:val="0"/>
          <w:sz w:val="34"/>
          <w:szCs w:val="34"/>
          <w:lang w:eastAsia="zh-CN"/>
        </w:rPr>
        <w:t>附件</w:t>
      </w:r>
      <w:r>
        <w:rPr>
          <w:rFonts w:hint="eastAsia" w:ascii="黑体" w:hAnsi="黑体" w:eastAsia="黑体"/>
          <w:color w:val="000000"/>
          <w:kern w:val="0"/>
          <w:sz w:val="34"/>
          <w:szCs w:val="34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区领导联系企业（项目）名单</w:t>
      </w:r>
    </w:p>
    <w:tbl>
      <w:tblPr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538"/>
        <w:gridCol w:w="5962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2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38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1023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182" w:type="dxa"/>
            <w:gridSpan w:val="4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区委领导8人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2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重点企业 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中铝矿业有限公司</w:t>
            </w:r>
          </w:p>
        </w:tc>
        <w:tc>
          <w:tcPr>
            <w:tcW w:w="1023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2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中国长城铝业公司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2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重点项目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河南奥克斯智能电气有限公司智能空调基地建设项目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2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郑州奥克斯智造产业园项目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2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38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拟上市企业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河南省奥瑞环保科技有限公司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2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重点企业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青岛国恩科技股份有限公司郑州分公司</w:t>
            </w:r>
          </w:p>
        </w:tc>
        <w:tc>
          <w:tcPr>
            <w:tcW w:w="1023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2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郑州长城科工贸有限公司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2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重点项目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东方雨虹郑州研发生产中心项目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郑州红星矿山机器有限公司盾构机、移动建筑垃圾工作站及高端矿机项目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38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拟上市企业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郑州万谷机械股份有限公司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重点企业 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中国铝业郑州有色金属研究院有限公司</w:t>
            </w:r>
          </w:p>
        </w:tc>
        <w:tc>
          <w:tcPr>
            <w:tcW w:w="1023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汤晓义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河南省化工机械制造有限公司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重点项目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郑州盛川科技有限公司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智能润滑系统、特种车辆模拟器及零部件加工项目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河南省万威机械设备有限公司精密零部件制造项目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2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38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拟上市企业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河南合力新材料股份有限公司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2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重点企业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郑州市净天环保设备有限公司</w:t>
            </w:r>
          </w:p>
        </w:tc>
        <w:tc>
          <w:tcPr>
            <w:tcW w:w="1023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虎荣鑫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2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河南宏科重工机械设备有限公司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2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重点项目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普洛斯郑州上街物流园项目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2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邮政电商产业园项目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2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38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拟上市企业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郑州正兴科技有限公司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重点企业 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郑州华祥耐材有限公司</w:t>
            </w:r>
          </w:p>
        </w:tc>
        <w:tc>
          <w:tcPr>
            <w:tcW w:w="1023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赵晨阳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郑州固力特新材料有限公司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重点项目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河南聚德昌智能制造科技有限公司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机械零部件生产项目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河南鑫旺科技有限公司混凝土搅拌站设备生产项目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38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拟上市企业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康利达装饰股份有限公司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重点企业 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郑州天源橡胶有限公司</w:t>
            </w:r>
          </w:p>
        </w:tc>
        <w:tc>
          <w:tcPr>
            <w:tcW w:w="1023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李献民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郑州轻研合金科技有限公司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重点项目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峡窝镇数字经济产业园项目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郑州宜方置业有限公司方顶驿旅游度假项目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38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拟上市企业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河南天马新材料股份有限公司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重点企业 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郑州意之谷科技服务有限公司</w:t>
            </w:r>
          </w:p>
        </w:tc>
        <w:tc>
          <w:tcPr>
            <w:tcW w:w="1023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郑州航宇防爆电机有限公司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河南黎明西芝重工有限公司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重点项目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郑州晋潞光电科技有限公司家电配套注塑件生产项目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上海华铭智能终端设备股份有限公司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交通智能设备制造项目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重点企业 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河南中鹏航空俱乐部有限公司</w:t>
            </w:r>
          </w:p>
        </w:tc>
        <w:tc>
          <w:tcPr>
            <w:tcW w:w="1023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张向奥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郑州临空科技园有限公司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河南劝业投资管理有限公司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重点项目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河南华能工业无人机、高低压电气设备、充电桩项目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飞机展示交易中心项目（郑上会展中心项目）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82" w:type="dxa"/>
            <w:gridSpan w:val="4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区人大常委会领导7人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重点企业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郑州弘祥耐火材料有限公司</w:t>
            </w:r>
          </w:p>
        </w:tc>
        <w:tc>
          <w:tcPr>
            <w:tcW w:w="1023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宋双</w:t>
            </w: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郑州市北方机床有限公司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7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38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重点项目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郑州朗润智能装备股份有限公司天然气设备生产项目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重点企业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河南盛誉通达建筑工程有限公司</w:t>
            </w:r>
          </w:p>
        </w:tc>
        <w:tc>
          <w:tcPr>
            <w:tcW w:w="1023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郑州市新峰机械制造有限公司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38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重点项目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芯创硅光子科技有限公司5G智慧网络波分复用器项目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重点企业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郑州市华中建机有限公司</w:t>
            </w:r>
          </w:p>
        </w:tc>
        <w:tc>
          <w:tcPr>
            <w:tcW w:w="1023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朱书民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中意家具集团（郑州）有限公司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38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重点项目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燕赵保险上街支公司项目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重点企业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郑州玉发精瓷科技有限公司</w:t>
            </w:r>
          </w:p>
        </w:tc>
        <w:tc>
          <w:tcPr>
            <w:tcW w:w="1023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林肯电气合力（郑州）焊材有限公司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38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重点项目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中部陆港氧化铝期货交割库项目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重点企业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河南金龙门窗有限公司</w:t>
            </w:r>
          </w:p>
        </w:tc>
        <w:tc>
          <w:tcPr>
            <w:tcW w:w="1023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郑州市龙丰农业机械装备制造有限公司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38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重点项目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深圳中农网郑州智慧供应链中心项目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重点企业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河南中铝装备有限公司</w:t>
            </w:r>
          </w:p>
        </w:tc>
        <w:tc>
          <w:tcPr>
            <w:tcW w:w="1023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郑州格泰制冷设备有限公司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38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重点项目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河南高景直播电商项目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重点企业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郑州市共泰五金电器有限公司</w:t>
            </w:r>
          </w:p>
        </w:tc>
        <w:tc>
          <w:tcPr>
            <w:tcW w:w="1023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李向阳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郑州玉发高新材料有限公司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38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重点项目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中原国际商贸物流新城启动区项目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82" w:type="dxa"/>
            <w:gridSpan w:val="4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区政府领导</w:t>
            </w:r>
            <w:r>
              <w:rPr>
                <w:rFonts w:hint="eastAsia" w:ascii="仿宋_GB2312" w:hAnsi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重点企业 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郑州市郑蝶阀门有限公司</w:t>
            </w:r>
          </w:p>
        </w:tc>
        <w:tc>
          <w:tcPr>
            <w:tcW w:w="1023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房玉雯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郑州市上街区天伦燃气有限公司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郑州市上街区天伦车用燃气有限公司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重点项目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金裕企业孵化中心项目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五云山休闲康养片区项目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重点企业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郑州市新生印务有限公司</w:t>
            </w:r>
          </w:p>
        </w:tc>
        <w:tc>
          <w:tcPr>
            <w:tcW w:w="1023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郑州恒科建巍混凝土有限公司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重点项目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河南盛誉实业有限公司高品质阀门生产项目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河南省米净瑞发净化设备有限公司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年产40万台空气净化设备项目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重点企业 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中铝河南国际贸易有限公司</w:t>
            </w:r>
          </w:p>
        </w:tc>
        <w:tc>
          <w:tcPr>
            <w:tcW w:w="1023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郑州铝都新材料有限公司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郑州市宜明耐火材料有限公司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重点项目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郑州浩艺新材料有限公司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年产1.5万吨4A分子筛及研发项目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郑州恒通空气炮有限公司年产2000台空气炮清堵器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重点企业 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郑州花生日记网络科技有限公司</w:t>
            </w:r>
          </w:p>
        </w:tc>
        <w:tc>
          <w:tcPr>
            <w:tcW w:w="1023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王新伟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郑州嵩森特种氧化铝有限公司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郑州广源铝业有限公司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重点项目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广州宝供物流郑州产业园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蓝城康养文旅小镇项目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重点企业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河南华慧有色工程设计有限公司</w:t>
            </w:r>
          </w:p>
        </w:tc>
        <w:tc>
          <w:tcPr>
            <w:tcW w:w="1023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孙喜忠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河南三和航空工业有限公司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538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重点项目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海王地效翼船制造项目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重点企业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郑州三财通工贸有限公司</w:t>
            </w:r>
          </w:p>
        </w:tc>
        <w:tc>
          <w:tcPr>
            <w:tcW w:w="1023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赵全来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郑州溢阳铝业有限公司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538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重点项目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郑州三厂电缆有限公司新能源特种电缆生产项目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重点企业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郑州合宇道路设施有限公司</w:t>
            </w:r>
          </w:p>
        </w:tc>
        <w:tc>
          <w:tcPr>
            <w:tcW w:w="1023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李春发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郑州沃德超硬材料有限公司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538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重点项目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郑州航鹄电子科技有限公司精密零部件加工项目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重点企业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河南锦坤人力服务有限公司</w:t>
            </w:r>
          </w:p>
        </w:tc>
        <w:tc>
          <w:tcPr>
            <w:tcW w:w="1023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河南华索科技有限公司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94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538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重点项目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中国航材集团北京华诺公司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大型飞机整机维修、交付项目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重点企业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河南中铝国储能源有限公司</w:t>
            </w:r>
          </w:p>
        </w:tc>
        <w:tc>
          <w:tcPr>
            <w:tcW w:w="1023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苏祖翔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郑州亿顺化工物流有限公司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538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重点项目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中国人保淮阳路营销服务部项目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重点企业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河南诺兰特新材科技有限公司</w:t>
            </w:r>
          </w:p>
        </w:tc>
        <w:tc>
          <w:tcPr>
            <w:tcW w:w="1023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胡树杰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郑州华中建机设备安装有限公司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538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重点项目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中原科创产业园建设项目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82" w:type="dxa"/>
            <w:gridSpan w:val="4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区政协领导6人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重点企业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郑州中力泵阀制造有限公司</w:t>
            </w:r>
          </w:p>
        </w:tc>
        <w:tc>
          <w:tcPr>
            <w:tcW w:w="1023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徐卫东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郑州市长城重工机械有限公司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538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重点项目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河南省景观规划设计研究院项目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重点企业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郑州市上街区中能环科热力有限公司</w:t>
            </w:r>
          </w:p>
        </w:tc>
        <w:tc>
          <w:tcPr>
            <w:tcW w:w="1023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邓书安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郑州嘉耐特种铝酸盐有限公司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538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重点项目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郑州东晟仪器设备有限公司实验仪器生产项目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重点企业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郑州海赛高技术陶瓷有限责任公司</w:t>
            </w:r>
          </w:p>
        </w:tc>
        <w:tc>
          <w:tcPr>
            <w:tcW w:w="1023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武家寅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河南力威实业有限公司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538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重点项目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郑州市华宇物资有限公司机械零部件生产项目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重点企业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郑州市德润磨料有限公司</w:t>
            </w:r>
          </w:p>
        </w:tc>
        <w:tc>
          <w:tcPr>
            <w:tcW w:w="1023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李新廷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郑州市富地磨料有限公司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39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538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重点项目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郑州凯思达机械有限公司拉丝机塔轮生产项目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重点企业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郑州市豫立实业有限公司</w:t>
            </w:r>
          </w:p>
        </w:tc>
        <w:tc>
          <w:tcPr>
            <w:tcW w:w="1023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吕现州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河南长兴实业有限公司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538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重点项目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河南鑫旺科技有限公司混凝土搅拌站设备生产项目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重点企业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郑州市瑞沃耐火材料有限公司</w:t>
            </w:r>
          </w:p>
        </w:tc>
        <w:tc>
          <w:tcPr>
            <w:tcW w:w="1023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赵文瑛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河南蓝翎环科工程技术有限公司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郑州铝都阀门有限公司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82" w:type="dxa"/>
            <w:gridSpan w:val="4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区法院领导1人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重点企业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郑州中海威环保科技有限公司</w:t>
            </w:r>
          </w:p>
        </w:tc>
        <w:tc>
          <w:tcPr>
            <w:tcW w:w="1023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乔亦丹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郑州市豫龙建材有限公司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河南亚星建筑安装工程有限公司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82" w:type="dxa"/>
            <w:gridSpan w:val="4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区检察院1人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重点企业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河南宏丽来超市有限公司</w:t>
            </w:r>
          </w:p>
        </w:tc>
        <w:tc>
          <w:tcPr>
            <w:tcW w:w="1023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陆一凡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郑州市鼎盛机械制造有限公司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河南永翔通用航空有限公司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82" w:type="dxa"/>
            <w:gridSpan w:val="4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区武装部领导2人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重点企业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河南宇宙流体科技有限公司</w:t>
            </w:r>
          </w:p>
        </w:tc>
        <w:tc>
          <w:tcPr>
            <w:tcW w:w="1023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郑州玛纳房屋装备有限公司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郑州铝城新材料科技有限公司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538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重点企业</w:t>
            </w: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河南省景文百货商贸有限公司</w:t>
            </w:r>
          </w:p>
        </w:tc>
        <w:tc>
          <w:tcPr>
            <w:tcW w:w="1023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成岩峰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郑州市宇超机械制造有限公司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659" w:type="dxa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538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6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郑州祥昱新材料有限公司</w:t>
            </w:r>
          </w:p>
        </w:tc>
        <w:tc>
          <w:tcPr>
            <w:tcW w:w="1023" w:type="dxa"/>
            <w:vMerge w:val="continue"/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eastAsia" w:ascii="黑体" w:hAnsi="黑体" w:eastAsia="黑体"/>
          <w:color w:val="000000"/>
          <w:kern w:val="0"/>
          <w:sz w:val="34"/>
          <w:szCs w:val="34"/>
        </w:rPr>
      </w:pPr>
    </w:p>
    <w:p>
      <w:pPr>
        <w:pStyle w:val="3"/>
        <w:rPr>
          <w:rFonts w:hint="eastAsia"/>
        </w:rPr>
      </w:pPr>
    </w:p>
    <w:p>
      <w:pPr>
        <w:spacing w:line="580" w:lineRule="exac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附件2：</w:t>
      </w:r>
    </w:p>
    <w:p>
      <w:pPr>
        <w:spacing w:afterLines="50" w:line="640" w:lineRule="exact"/>
        <w:jc w:val="center"/>
        <w:rPr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“万人助万企”活动工作组名单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95" w:beforeLines="30" w:after="63" w:afterLines="20" w:line="520" w:lineRule="exact"/>
        <w:ind w:left="0"/>
        <w:jc w:val="center"/>
        <w:textAlignment w:val="auto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 xml:space="preserve">第一组  </w:t>
      </w:r>
      <w:r>
        <w:rPr>
          <w:rFonts w:hint="eastAsia" w:ascii="黑体" w:hAnsi="黑体" w:eastAsia="黑体"/>
          <w:sz w:val="30"/>
          <w:szCs w:val="30"/>
        </w:rPr>
        <w:t>综合协调组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/>
        <w:spacing w:line="520" w:lineRule="exact"/>
        <w:ind w:left="0" w:firstLine="600" w:firstLineChars="200"/>
        <w:textAlignment w:val="auto"/>
        <w:rPr>
          <w:sz w:val="30"/>
          <w:szCs w:val="30"/>
        </w:rPr>
      </w:pPr>
      <w:r>
        <w:rPr>
          <w:sz w:val="30"/>
          <w:szCs w:val="30"/>
        </w:rPr>
        <w:t>组　长：</w:t>
      </w:r>
      <w:r>
        <w:rPr>
          <w:rFonts w:hint="eastAsia"/>
          <w:sz w:val="30"/>
          <w:szCs w:val="30"/>
        </w:rPr>
        <w:t>区科工信局、</w:t>
      </w:r>
      <w:r>
        <w:rPr>
          <w:sz w:val="30"/>
          <w:szCs w:val="30"/>
        </w:rPr>
        <w:t>税务局</w:t>
      </w:r>
      <w:r>
        <w:rPr>
          <w:rFonts w:hint="eastAsia"/>
          <w:sz w:val="30"/>
          <w:szCs w:val="30"/>
        </w:rPr>
        <w:t>上街分局科级干部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/>
        <w:spacing w:line="520" w:lineRule="exact"/>
        <w:ind w:left="0" w:firstLine="600" w:firstLineChars="200"/>
        <w:textAlignment w:val="auto"/>
        <w:rPr>
          <w:sz w:val="30"/>
          <w:szCs w:val="30"/>
        </w:rPr>
      </w:pPr>
      <w:r>
        <w:rPr>
          <w:sz w:val="30"/>
          <w:szCs w:val="30"/>
        </w:rPr>
        <w:t>副组长：</w:t>
      </w:r>
      <w:r>
        <w:rPr>
          <w:rFonts w:hint="eastAsia"/>
          <w:sz w:val="30"/>
          <w:szCs w:val="30"/>
        </w:rPr>
        <w:t>区科工信局、</w:t>
      </w:r>
      <w:r>
        <w:rPr>
          <w:sz w:val="30"/>
          <w:szCs w:val="30"/>
        </w:rPr>
        <w:t>税务局</w:t>
      </w:r>
      <w:r>
        <w:rPr>
          <w:rFonts w:hint="eastAsia"/>
          <w:sz w:val="30"/>
          <w:szCs w:val="30"/>
        </w:rPr>
        <w:t>上街分局业务科长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/>
        <w:spacing w:line="520" w:lineRule="exact"/>
        <w:ind w:left="1840" w:leftChars="200" w:hanging="1200" w:hangingChars="400"/>
        <w:textAlignment w:val="auto"/>
        <w:rPr>
          <w:rFonts w:hint="eastAsia"/>
          <w:sz w:val="30"/>
          <w:szCs w:val="30"/>
        </w:rPr>
      </w:pPr>
      <w:r>
        <w:rPr>
          <w:sz w:val="30"/>
          <w:szCs w:val="30"/>
        </w:rPr>
        <w:t>成　员：</w:t>
      </w:r>
      <w:r>
        <w:rPr>
          <w:rFonts w:hint="eastAsia"/>
          <w:sz w:val="30"/>
          <w:szCs w:val="30"/>
        </w:rPr>
        <w:t>区发改委、市</w:t>
      </w:r>
      <w:r>
        <w:rPr>
          <w:sz w:val="30"/>
          <w:szCs w:val="30"/>
        </w:rPr>
        <w:t>生态环境</w:t>
      </w:r>
      <w:r>
        <w:rPr>
          <w:rFonts w:hint="eastAsia"/>
          <w:sz w:val="30"/>
          <w:szCs w:val="30"/>
        </w:rPr>
        <w:t>局上街分局</w:t>
      </w:r>
      <w:r>
        <w:rPr>
          <w:sz w:val="30"/>
          <w:szCs w:val="30"/>
        </w:rPr>
        <w:t>、</w:t>
      </w:r>
      <w:r>
        <w:rPr>
          <w:rFonts w:hint="eastAsia"/>
          <w:sz w:val="30"/>
          <w:szCs w:val="30"/>
        </w:rPr>
        <w:t>区统计局、区督查局、区审计局、区人社局、区财政局、区商务局、区应急管理局、区资源规划局、区教育局、区法院、区供电公司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/>
        <w:spacing w:line="520" w:lineRule="exact"/>
        <w:ind w:left="0" w:firstLine="600" w:firstLineChars="200"/>
        <w:textAlignment w:val="auto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联系人：</w:t>
      </w:r>
      <w:r>
        <w:rPr>
          <w:rFonts w:hint="eastAsia"/>
          <w:sz w:val="30"/>
          <w:szCs w:val="30"/>
          <w:lang w:eastAsia="zh-CN"/>
        </w:rPr>
        <w:t>科工信局</w:t>
      </w:r>
      <w:r>
        <w:rPr>
          <w:rFonts w:hint="eastAsia"/>
          <w:sz w:val="30"/>
          <w:szCs w:val="30"/>
        </w:rPr>
        <w:t>分管领导</w:t>
      </w:r>
      <w:r>
        <w:rPr>
          <w:rFonts w:hint="eastAsia"/>
          <w:sz w:val="30"/>
          <w:szCs w:val="30"/>
          <w:lang w:eastAsia="zh-CN"/>
        </w:rPr>
        <w:t>李宗正</w:t>
      </w:r>
      <w:r>
        <w:rPr>
          <w:rFonts w:hint="eastAsia"/>
          <w:sz w:val="30"/>
          <w:szCs w:val="30"/>
        </w:rPr>
        <w:t>及业务科长</w:t>
      </w:r>
      <w:r>
        <w:rPr>
          <w:rFonts w:hint="eastAsia"/>
          <w:sz w:val="30"/>
          <w:szCs w:val="30"/>
          <w:lang w:eastAsia="zh-CN"/>
        </w:rPr>
        <w:t>岳明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/>
        <w:spacing w:line="520" w:lineRule="exact"/>
        <w:ind w:left="0" w:firstLine="600" w:firstLineChars="200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税务</w:t>
      </w:r>
      <w:r>
        <w:rPr>
          <w:rFonts w:hint="eastAsia"/>
          <w:sz w:val="30"/>
          <w:szCs w:val="30"/>
          <w:lang w:eastAsia="zh-CN"/>
        </w:rPr>
        <w:t>局</w:t>
      </w:r>
      <w:r>
        <w:rPr>
          <w:rFonts w:hint="eastAsia"/>
          <w:sz w:val="30"/>
          <w:szCs w:val="30"/>
        </w:rPr>
        <w:t>分管领导</w:t>
      </w:r>
      <w:r>
        <w:rPr>
          <w:rFonts w:hint="eastAsia"/>
          <w:sz w:val="30"/>
          <w:szCs w:val="30"/>
          <w:lang w:eastAsia="zh-CN"/>
        </w:rPr>
        <w:t>杨慧泉</w:t>
      </w:r>
      <w:r>
        <w:rPr>
          <w:rFonts w:hint="eastAsia"/>
          <w:sz w:val="30"/>
          <w:szCs w:val="30"/>
        </w:rPr>
        <w:t>及业务科长</w:t>
      </w:r>
      <w:r>
        <w:rPr>
          <w:rFonts w:hint="eastAsia"/>
          <w:sz w:val="30"/>
          <w:szCs w:val="30"/>
          <w:lang w:eastAsia="zh-CN"/>
        </w:rPr>
        <w:t>李明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95" w:beforeLines="30" w:after="63" w:afterLines="20" w:line="520" w:lineRule="exact"/>
        <w:ind w:left="0"/>
        <w:jc w:val="center"/>
        <w:textAlignment w:val="auto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 xml:space="preserve">第二组  </w:t>
      </w:r>
      <w:r>
        <w:rPr>
          <w:rFonts w:hint="eastAsia" w:ascii="黑体" w:hAnsi="黑体" w:eastAsia="黑体"/>
          <w:sz w:val="30"/>
          <w:szCs w:val="30"/>
        </w:rPr>
        <w:t>峡窝镇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/>
        <w:spacing w:line="520" w:lineRule="exact"/>
        <w:ind w:left="0" w:firstLine="600" w:firstLineChars="200"/>
        <w:textAlignment w:val="auto"/>
        <w:rPr>
          <w:sz w:val="30"/>
          <w:szCs w:val="30"/>
        </w:rPr>
      </w:pPr>
      <w:r>
        <w:rPr>
          <w:sz w:val="30"/>
          <w:szCs w:val="30"/>
        </w:rPr>
        <w:t>组　长：</w:t>
      </w:r>
      <w:r>
        <w:rPr>
          <w:rFonts w:hint="eastAsia"/>
          <w:sz w:val="30"/>
          <w:szCs w:val="30"/>
        </w:rPr>
        <w:t>区发改委科级干部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/>
        <w:spacing w:line="520" w:lineRule="exact"/>
        <w:ind w:left="0" w:firstLine="600" w:firstLineChars="200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副组长：区发改委、产业集聚区业务科长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/>
        <w:spacing w:line="520" w:lineRule="exact"/>
        <w:ind w:left="1840" w:leftChars="200" w:hanging="1200" w:hangingChars="400"/>
        <w:textAlignment w:val="auto"/>
        <w:rPr>
          <w:sz w:val="30"/>
          <w:szCs w:val="30"/>
        </w:rPr>
      </w:pPr>
      <w:r>
        <w:rPr>
          <w:sz w:val="30"/>
          <w:szCs w:val="30"/>
        </w:rPr>
        <w:t>成　员：</w:t>
      </w:r>
      <w:r>
        <w:rPr>
          <w:rFonts w:hint="eastAsia"/>
          <w:sz w:val="30"/>
          <w:szCs w:val="30"/>
        </w:rPr>
        <w:t>区科</w:t>
      </w:r>
      <w:r>
        <w:rPr>
          <w:sz w:val="30"/>
          <w:szCs w:val="30"/>
        </w:rPr>
        <w:t>工信</w:t>
      </w:r>
      <w:r>
        <w:rPr>
          <w:rFonts w:hint="eastAsia"/>
          <w:sz w:val="30"/>
          <w:szCs w:val="30"/>
        </w:rPr>
        <w:t>局</w:t>
      </w:r>
      <w:r>
        <w:rPr>
          <w:sz w:val="30"/>
          <w:szCs w:val="30"/>
        </w:rPr>
        <w:t>、</w:t>
      </w:r>
      <w:r>
        <w:rPr>
          <w:rFonts w:hint="eastAsia"/>
          <w:sz w:val="30"/>
          <w:szCs w:val="30"/>
        </w:rPr>
        <w:t>市</w:t>
      </w:r>
      <w:r>
        <w:rPr>
          <w:sz w:val="30"/>
          <w:szCs w:val="30"/>
        </w:rPr>
        <w:t>生态环境</w:t>
      </w:r>
      <w:r>
        <w:rPr>
          <w:rFonts w:hint="eastAsia"/>
          <w:sz w:val="30"/>
          <w:szCs w:val="30"/>
        </w:rPr>
        <w:t>局上街分局</w:t>
      </w:r>
      <w:r>
        <w:rPr>
          <w:sz w:val="30"/>
          <w:szCs w:val="30"/>
        </w:rPr>
        <w:t>、</w:t>
      </w:r>
      <w:r>
        <w:rPr>
          <w:rFonts w:hint="eastAsia"/>
          <w:sz w:val="30"/>
          <w:szCs w:val="30"/>
        </w:rPr>
        <w:t>区统计局、市公安局上街分局、区</w:t>
      </w:r>
      <w:r>
        <w:rPr>
          <w:sz w:val="30"/>
          <w:szCs w:val="30"/>
        </w:rPr>
        <w:t>商务局、税务局</w:t>
      </w:r>
      <w:r>
        <w:rPr>
          <w:rFonts w:hint="eastAsia"/>
          <w:sz w:val="30"/>
          <w:szCs w:val="30"/>
        </w:rPr>
        <w:t>上街分局、通航管委会</w:t>
      </w:r>
      <w:r>
        <w:rPr>
          <w:sz w:val="30"/>
          <w:szCs w:val="30"/>
        </w:rPr>
        <w:t>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/>
        <w:spacing w:line="520" w:lineRule="exact"/>
        <w:ind w:left="0" w:firstLine="600" w:firstLineChars="200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联系人：峡窝镇分管领导</w:t>
      </w:r>
      <w:r>
        <w:rPr>
          <w:rFonts w:hint="eastAsia"/>
          <w:sz w:val="30"/>
          <w:szCs w:val="30"/>
          <w:lang w:eastAsia="zh-CN"/>
        </w:rPr>
        <w:t>赵斌</w:t>
      </w:r>
      <w:r>
        <w:rPr>
          <w:rFonts w:hint="eastAsia"/>
          <w:sz w:val="30"/>
          <w:szCs w:val="30"/>
        </w:rPr>
        <w:t>及业务科长</w:t>
      </w:r>
      <w:r>
        <w:rPr>
          <w:rFonts w:hint="eastAsia"/>
          <w:sz w:val="30"/>
          <w:szCs w:val="30"/>
          <w:lang w:eastAsia="zh-CN"/>
        </w:rPr>
        <w:t>高香玲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95" w:beforeLines="30" w:after="63" w:afterLines="20" w:line="520" w:lineRule="exact"/>
        <w:ind w:left="0"/>
        <w:jc w:val="center"/>
        <w:textAlignment w:val="auto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 xml:space="preserve">第三组  </w:t>
      </w:r>
      <w:r>
        <w:rPr>
          <w:rFonts w:hint="eastAsia" w:ascii="黑体" w:hAnsi="黑体" w:eastAsia="黑体"/>
          <w:sz w:val="30"/>
          <w:szCs w:val="30"/>
        </w:rPr>
        <w:t>工业办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/>
        <w:spacing w:line="520" w:lineRule="exact"/>
        <w:ind w:left="0" w:firstLine="600" w:firstLineChars="200"/>
        <w:textAlignment w:val="auto"/>
        <w:rPr>
          <w:sz w:val="30"/>
          <w:szCs w:val="30"/>
        </w:rPr>
      </w:pPr>
      <w:r>
        <w:rPr>
          <w:sz w:val="30"/>
          <w:szCs w:val="30"/>
        </w:rPr>
        <w:t>组　长：</w:t>
      </w:r>
      <w:r>
        <w:rPr>
          <w:rFonts w:hint="eastAsia"/>
          <w:sz w:val="30"/>
          <w:szCs w:val="30"/>
        </w:rPr>
        <w:t>区统计局科级干部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/>
        <w:spacing w:line="520" w:lineRule="exact"/>
        <w:ind w:left="0" w:firstLine="600" w:firstLineChars="200"/>
        <w:textAlignment w:val="auto"/>
        <w:rPr>
          <w:sz w:val="30"/>
          <w:szCs w:val="30"/>
        </w:rPr>
      </w:pPr>
      <w:r>
        <w:rPr>
          <w:sz w:val="30"/>
          <w:szCs w:val="30"/>
        </w:rPr>
        <w:t>副组长：</w:t>
      </w:r>
      <w:r>
        <w:rPr>
          <w:rFonts w:hint="eastAsia"/>
          <w:sz w:val="30"/>
          <w:szCs w:val="30"/>
        </w:rPr>
        <w:t>区统计局、区人社局业务科长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sz w:val="30"/>
          <w:szCs w:val="30"/>
        </w:rPr>
        <w:t>成　员：</w:t>
      </w:r>
      <w:r>
        <w:rPr>
          <w:rFonts w:hint="eastAsia"/>
          <w:sz w:val="30"/>
          <w:szCs w:val="30"/>
        </w:rPr>
        <w:t>区发改委、区科</w:t>
      </w:r>
      <w:r>
        <w:rPr>
          <w:sz w:val="30"/>
          <w:szCs w:val="30"/>
        </w:rPr>
        <w:t>工信</w:t>
      </w:r>
      <w:r>
        <w:rPr>
          <w:rFonts w:hint="eastAsia"/>
          <w:sz w:val="30"/>
          <w:szCs w:val="30"/>
        </w:rPr>
        <w:t>局</w:t>
      </w:r>
      <w:r>
        <w:rPr>
          <w:sz w:val="30"/>
          <w:szCs w:val="30"/>
        </w:rPr>
        <w:t>、</w:t>
      </w:r>
      <w:r>
        <w:rPr>
          <w:rFonts w:hint="eastAsia"/>
          <w:sz w:val="30"/>
          <w:szCs w:val="30"/>
        </w:rPr>
        <w:t>市</w:t>
      </w:r>
      <w:r>
        <w:rPr>
          <w:sz w:val="30"/>
          <w:szCs w:val="30"/>
        </w:rPr>
        <w:t>生态环境</w:t>
      </w:r>
      <w:r>
        <w:rPr>
          <w:rFonts w:hint="eastAsia"/>
          <w:sz w:val="30"/>
          <w:szCs w:val="30"/>
        </w:rPr>
        <w:t>局上街分局</w:t>
      </w:r>
      <w:r>
        <w:rPr>
          <w:sz w:val="30"/>
          <w:szCs w:val="30"/>
        </w:rPr>
        <w:t>、</w:t>
      </w:r>
      <w:r>
        <w:rPr>
          <w:rFonts w:hint="eastAsia"/>
          <w:sz w:val="30"/>
          <w:szCs w:val="30"/>
        </w:rPr>
        <w:t>资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20" w:lineRule="exact"/>
        <w:ind w:left="1786" w:leftChars="558" w:firstLine="0" w:firstLineChars="0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源规划局、区房管中心、区财政局、</w:t>
      </w:r>
      <w:r>
        <w:rPr>
          <w:sz w:val="30"/>
          <w:szCs w:val="30"/>
        </w:rPr>
        <w:t>税务局</w:t>
      </w:r>
      <w:r>
        <w:rPr>
          <w:rFonts w:hint="eastAsia"/>
          <w:sz w:val="30"/>
          <w:szCs w:val="30"/>
        </w:rPr>
        <w:t>上街分局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sz w:val="30"/>
          <w:szCs w:val="30"/>
        </w:rPr>
        <w:t>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/>
        <w:spacing w:line="520" w:lineRule="exact"/>
        <w:ind w:left="0" w:firstLine="600" w:firstLineChars="200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联系人：工业办分管领导</w:t>
      </w:r>
      <w:r>
        <w:rPr>
          <w:rFonts w:hint="eastAsia"/>
          <w:sz w:val="30"/>
          <w:szCs w:val="30"/>
          <w:lang w:eastAsia="zh-CN"/>
        </w:rPr>
        <w:t>楚薇东</w:t>
      </w:r>
      <w:r>
        <w:rPr>
          <w:rFonts w:hint="eastAsia"/>
          <w:sz w:val="30"/>
          <w:szCs w:val="30"/>
        </w:rPr>
        <w:t>及业务科长</w:t>
      </w:r>
      <w:r>
        <w:rPr>
          <w:rFonts w:hint="eastAsia"/>
          <w:sz w:val="30"/>
          <w:szCs w:val="30"/>
          <w:lang w:eastAsia="zh-CN"/>
        </w:rPr>
        <w:t>屈海勇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95" w:beforeLines="30" w:after="63" w:afterLines="20" w:line="520" w:lineRule="exact"/>
        <w:ind w:left="0"/>
        <w:jc w:val="center"/>
        <w:textAlignment w:val="auto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第</w:t>
      </w:r>
      <w:r>
        <w:rPr>
          <w:rFonts w:hint="eastAsia" w:ascii="黑体" w:hAnsi="黑体" w:eastAsia="黑体"/>
          <w:sz w:val="30"/>
          <w:szCs w:val="30"/>
        </w:rPr>
        <w:t>四</w:t>
      </w:r>
      <w:r>
        <w:rPr>
          <w:rFonts w:ascii="黑体" w:hAnsi="黑体" w:eastAsia="黑体"/>
          <w:sz w:val="30"/>
          <w:szCs w:val="30"/>
        </w:rPr>
        <w:t xml:space="preserve">组  </w:t>
      </w:r>
      <w:r>
        <w:rPr>
          <w:rFonts w:hint="eastAsia" w:ascii="黑体" w:hAnsi="黑体" w:eastAsia="黑体"/>
          <w:sz w:val="30"/>
          <w:szCs w:val="30"/>
        </w:rPr>
        <w:t>新安办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/>
        <w:spacing w:line="520" w:lineRule="exact"/>
        <w:ind w:left="0" w:firstLine="600" w:firstLineChars="200"/>
        <w:textAlignment w:val="auto"/>
        <w:rPr>
          <w:sz w:val="30"/>
          <w:szCs w:val="30"/>
        </w:rPr>
      </w:pPr>
      <w:r>
        <w:rPr>
          <w:sz w:val="30"/>
          <w:szCs w:val="30"/>
        </w:rPr>
        <w:t>组　长：</w:t>
      </w:r>
      <w:r>
        <w:rPr>
          <w:rFonts w:hint="eastAsia"/>
          <w:sz w:val="30"/>
          <w:szCs w:val="30"/>
        </w:rPr>
        <w:t>区商务局科级干部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/>
        <w:spacing w:line="520" w:lineRule="exact"/>
        <w:ind w:left="0" w:firstLine="600" w:firstLineChars="200"/>
        <w:textAlignment w:val="auto"/>
        <w:rPr>
          <w:sz w:val="30"/>
          <w:szCs w:val="30"/>
        </w:rPr>
      </w:pPr>
      <w:r>
        <w:rPr>
          <w:sz w:val="30"/>
          <w:szCs w:val="30"/>
        </w:rPr>
        <w:t>副组长：</w:t>
      </w:r>
      <w:r>
        <w:rPr>
          <w:rFonts w:hint="eastAsia"/>
          <w:sz w:val="30"/>
          <w:szCs w:val="30"/>
        </w:rPr>
        <w:t>区商务局、市</w:t>
      </w:r>
      <w:r>
        <w:rPr>
          <w:sz w:val="30"/>
          <w:szCs w:val="30"/>
        </w:rPr>
        <w:t>生态环境</w:t>
      </w:r>
      <w:r>
        <w:rPr>
          <w:rFonts w:hint="eastAsia"/>
          <w:sz w:val="30"/>
          <w:szCs w:val="30"/>
        </w:rPr>
        <w:t>局上街分局业务科长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/>
        <w:spacing w:line="520" w:lineRule="exact"/>
        <w:ind w:left="1840" w:leftChars="200" w:hanging="1200" w:hangingChars="400"/>
        <w:textAlignment w:val="auto"/>
        <w:rPr>
          <w:sz w:val="30"/>
          <w:szCs w:val="30"/>
        </w:rPr>
      </w:pPr>
      <w:r>
        <w:rPr>
          <w:sz w:val="30"/>
          <w:szCs w:val="30"/>
        </w:rPr>
        <w:t>成　员：</w:t>
      </w:r>
      <w:r>
        <w:rPr>
          <w:rFonts w:hint="eastAsia"/>
          <w:sz w:val="30"/>
          <w:szCs w:val="30"/>
        </w:rPr>
        <w:t>区发改委、区科</w:t>
      </w:r>
      <w:r>
        <w:rPr>
          <w:sz w:val="30"/>
          <w:szCs w:val="30"/>
        </w:rPr>
        <w:t>工信</w:t>
      </w:r>
      <w:r>
        <w:rPr>
          <w:rFonts w:hint="eastAsia"/>
          <w:sz w:val="30"/>
          <w:szCs w:val="30"/>
        </w:rPr>
        <w:t>局</w:t>
      </w:r>
      <w:r>
        <w:rPr>
          <w:sz w:val="30"/>
          <w:szCs w:val="30"/>
        </w:rPr>
        <w:t>、</w:t>
      </w:r>
      <w:r>
        <w:rPr>
          <w:rFonts w:hint="eastAsia"/>
          <w:sz w:val="30"/>
          <w:szCs w:val="30"/>
        </w:rPr>
        <w:t>区统计局、区农委、</w:t>
      </w:r>
      <w:r>
        <w:rPr>
          <w:sz w:val="30"/>
          <w:szCs w:val="30"/>
        </w:rPr>
        <w:t>税务局</w:t>
      </w:r>
      <w:r>
        <w:rPr>
          <w:rFonts w:hint="eastAsia"/>
          <w:sz w:val="30"/>
          <w:szCs w:val="30"/>
        </w:rPr>
        <w:t>上街分局、区卫健委、区金融服务中心</w:t>
      </w:r>
      <w:r>
        <w:rPr>
          <w:sz w:val="30"/>
          <w:szCs w:val="30"/>
        </w:rPr>
        <w:t>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/>
        <w:spacing w:line="520" w:lineRule="exact"/>
        <w:ind w:left="0" w:firstLine="600" w:firstLineChars="200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联系人：新安办分管领导</w:t>
      </w:r>
      <w:r>
        <w:rPr>
          <w:rFonts w:hint="eastAsia"/>
          <w:sz w:val="30"/>
          <w:szCs w:val="30"/>
          <w:lang w:eastAsia="zh-CN"/>
        </w:rPr>
        <w:t>邢文静</w:t>
      </w:r>
      <w:r>
        <w:rPr>
          <w:rFonts w:hint="eastAsia"/>
          <w:sz w:val="30"/>
          <w:szCs w:val="30"/>
        </w:rPr>
        <w:t>及业务科长</w:t>
      </w:r>
      <w:r>
        <w:rPr>
          <w:rFonts w:hint="eastAsia"/>
          <w:sz w:val="30"/>
          <w:szCs w:val="30"/>
          <w:lang w:eastAsia="zh-CN"/>
        </w:rPr>
        <w:t>李雅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95" w:beforeLines="30" w:after="63" w:afterLines="20" w:line="520" w:lineRule="exact"/>
        <w:ind w:left="0"/>
        <w:jc w:val="center"/>
        <w:textAlignment w:val="auto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第</w:t>
      </w:r>
      <w:r>
        <w:rPr>
          <w:rFonts w:hint="eastAsia" w:ascii="黑体" w:hAnsi="黑体" w:eastAsia="黑体"/>
          <w:sz w:val="30"/>
          <w:szCs w:val="30"/>
        </w:rPr>
        <w:t>五</w:t>
      </w:r>
      <w:r>
        <w:rPr>
          <w:rFonts w:ascii="黑体" w:hAnsi="黑体" w:eastAsia="黑体"/>
          <w:sz w:val="30"/>
          <w:szCs w:val="30"/>
        </w:rPr>
        <w:t xml:space="preserve">组  </w:t>
      </w:r>
      <w:r>
        <w:rPr>
          <w:rFonts w:hint="eastAsia" w:ascii="黑体" w:hAnsi="黑体" w:eastAsia="黑体"/>
          <w:sz w:val="30"/>
          <w:szCs w:val="30"/>
        </w:rPr>
        <w:t>济 办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/>
        <w:spacing w:line="520" w:lineRule="exact"/>
        <w:ind w:left="0" w:firstLine="600" w:firstLineChars="200"/>
        <w:textAlignment w:val="auto"/>
        <w:rPr>
          <w:sz w:val="30"/>
          <w:szCs w:val="30"/>
        </w:rPr>
      </w:pPr>
      <w:r>
        <w:rPr>
          <w:sz w:val="30"/>
          <w:szCs w:val="30"/>
        </w:rPr>
        <w:t>组　长：</w:t>
      </w:r>
      <w:r>
        <w:rPr>
          <w:rFonts w:hint="eastAsia"/>
          <w:sz w:val="30"/>
          <w:szCs w:val="30"/>
        </w:rPr>
        <w:t>区住建局科级干部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/>
        <w:spacing w:line="520" w:lineRule="exact"/>
        <w:ind w:left="0" w:firstLine="600" w:firstLineChars="200"/>
        <w:textAlignment w:val="auto"/>
        <w:rPr>
          <w:sz w:val="30"/>
          <w:szCs w:val="30"/>
        </w:rPr>
      </w:pPr>
      <w:r>
        <w:rPr>
          <w:sz w:val="30"/>
          <w:szCs w:val="30"/>
        </w:rPr>
        <w:t>副组长：</w:t>
      </w:r>
      <w:r>
        <w:rPr>
          <w:rFonts w:hint="eastAsia"/>
          <w:sz w:val="30"/>
          <w:szCs w:val="30"/>
        </w:rPr>
        <w:t>区住建局、区人社局业务科长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/>
        <w:spacing w:line="520" w:lineRule="exact"/>
        <w:ind w:left="1840" w:leftChars="200" w:hanging="1200" w:hangingChars="400"/>
        <w:textAlignment w:val="auto"/>
        <w:rPr>
          <w:sz w:val="30"/>
          <w:szCs w:val="30"/>
        </w:rPr>
      </w:pPr>
      <w:r>
        <w:rPr>
          <w:sz w:val="30"/>
          <w:szCs w:val="30"/>
        </w:rPr>
        <w:t>成　员：</w:t>
      </w:r>
      <w:r>
        <w:rPr>
          <w:rFonts w:hint="eastAsia"/>
          <w:sz w:val="30"/>
          <w:szCs w:val="30"/>
        </w:rPr>
        <w:t>区发改委、区科</w:t>
      </w:r>
      <w:r>
        <w:rPr>
          <w:sz w:val="30"/>
          <w:szCs w:val="30"/>
        </w:rPr>
        <w:t>工信</w:t>
      </w:r>
      <w:r>
        <w:rPr>
          <w:rFonts w:hint="eastAsia"/>
          <w:sz w:val="30"/>
          <w:szCs w:val="30"/>
        </w:rPr>
        <w:t>局</w:t>
      </w:r>
      <w:r>
        <w:rPr>
          <w:sz w:val="30"/>
          <w:szCs w:val="30"/>
        </w:rPr>
        <w:t>、</w:t>
      </w:r>
      <w:r>
        <w:rPr>
          <w:rFonts w:hint="eastAsia"/>
          <w:sz w:val="30"/>
          <w:szCs w:val="30"/>
        </w:rPr>
        <w:t>市</w:t>
      </w:r>
      <w:r>
        <w:rPr>
          <w:sz w:val="30"/>
          <w:szCs w:val="30"/>
        </w:rPr>
        <w:t>生态环境</w:t>
      </w:r>
      <w:r>
        <w:rPr>
          <w:rFonts w:hint="eastAsia"/>
          <w:sz w:val="30"/>
          <w:szCs w:val="30"/>
        </w:rPr>
        <w:t>局上街分局</w:t>
      </w:r>
      <w:r>
        <w:rPr>
          <w:sz w:val="30"/>
          <w:szCs w:val="30"/>
        </w:rPr>
        <w:t>、</w:t>
      </w:r>
      <w:r>
        <w:rPr>
          <w:rFonts w:hint="eastAsia"/>
          <w:sz w:val="30"/>
          <w:szCs w:val="30"/>
        </w:rPr>
        <w:t>统计局、</w:t>
      </w:r>
      <w:r>
        <w:rPr>
          <w:sz w:val="30"/>
          <w:szCs w:val="30"/>
        </w:rPr>
        <w:t>税务局</w:t>
      </w:r>
      <w:r>
        <w:rPr>
          <w:rFonts w:hint="eastAsia"/>
          <w:sz w:val="30"/>
          <w:szCs w:val="30"/>
        </w:rPr>
        <w:t>上街分局、区文广旅体局、区教育局</w:t>
      </w:r>
      <w:r>
        <w:rPr>
          <w:sz w:val="30"/>
          <w:szCs w:val="30"/>
        </w:rPr>
        <w:t>工作人员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/>
        <w:spacing w:line="520" w:lineRule="exact"/>
        <w:ind w:left="0" w:firstLine="600" w:firstLineChars="200"/>
        <w:textAlignment w:val="auto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联系人：济办分管领导</w:t>
      </w:r>
      <w:r>
        <w:rPr>
          <w:rFonts w:hint="eastAsia"/>
          <w:sz w:val="30"/>
          <w:szCs w:val="30"/>
          <w:lang w:eastAsia="zh-CN"/>
        </w:rPr>
        <w:t>武楠</w:t>
      </w:r>
      <w:r>
        <w:rPr>
          <w:rFonts w:hint="eastAsia"/>
          <w:sz w:val="30"/>
          <w:szCs w:val="30"/>
        </w:rPr>
        <w:t>及业务科长</w:t>
      </w:r>
      <w:r>
        <w:rPr>
          <w:rFonts w:hint="eastAsia"/>
          <w:sz w:val="30"/>
          <w:szCs w:val="30"/>
          <w:lang w:eastAsia="zh-CN"/>
        </w:rPr>
        <w:t>时懿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95" w:beforeLines="30" w:after="63" w:afterLines="20" w:line="520" w:lineRule="exact"/>
        <w:ind w:left="0"/>
        <w:jc w:val="center"/>
        <w:textAlignment w:val="auto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第</w:t>
      </w:r>
      <w:r>
        <w:rPr>
          <w:rFonts w:hint="eastAsia" w:ascii="黑体" w:hAnsi="黑体" w:eastAsia="黑体"/>
          <w:sz w:val="30"/>
          <w:szCs w:val="30"/>
        </w:rPr>
        <w:t>六</w:t>
      </w:r>
      <w:r>
        <w:rPr>
          <w:rFonts w:ascii="黑体" w:hAnsi="黑体" w:eastAsia="黑体"/>
          <w:sz w:val="30"/>
          <w:szCs w:val="30"/>
        </w:rPr>
        <w:t xml:space="preserve">组  </w:t>
      </w:r>
      <w:r>
        <w:rPr>
          <w:rFonts w:hint="eastAsia" w:ascii="黑体" w:hAnsi="黑体" w:eastAsia="黑体"/>
          <w:sz w:val="30"/>
          <w:szCs w:val="30"/>
        </w:rPr>
        <w:t>中心办、矿山办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/>
        <w:spacing w:line="520" w:lineRule="exact"/>
        <w:ind w:left="0" w:firstLine="600" w:firstLineChars="200"/>
        <w:textAlignment w:val="auto"/>
        <w:rPr>
          <w:sz w:val="30"/>
          <w:szCs w:val="30"/>
        </w:rPr>
      </w:pPr>
      <w:r>
        <w:rPr>
          <w:sz w:val="30"/>
          <w:szCs w:val="30"/>
        </w:rPr>
        <w:t>组　长：</w:t>
      </w:r>
      <w:r>
        <w:rPr>
          <w:rFonts w:hint="eastAsia"/>
          <w:sz w:val="30"/>
          <w:szCs w:val="30"/>
        </w:rPr>
        <w:t>区市场监管局科级干部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/>
        <w:spacing w:line="520" w:lineRule="exact"/>
        <w:ind w:left="0" w:firstLine="600" w:firstLineChars="200"/>
        <w:textAlignment w:val="auto"/>
        <w:rPr>
          <w:sz w:val="30"/>
          <w:szCs w:val="30"/>
        </w:rPr>
      </w:pPr>
      <w:r>
        <w:rPr>
          <w:sz w:val="30"/>
          <w:szCs w:val="30"/>
        </w:rPr>
        <w:t>副组长：</w:t>
      </w:r>
      <w:r>
        <w:rPr>
          <w:rFonts w:hint="eastAsia"/>
          <w:sz w:val="30"/>
          <w:szCs w:val="30"/>
        </w:rPr>
        <w:t>区市场监管局、</w:t>
      </w:r>
      <w:r>
        <w:rPr>
          <w:sz w:val="30"/>
          <w:szCs w:val="30"/>
        </w:rPr>
        <w:t>税务局</w:t>
      </w:r>
      <w:r>
        <w:rPr>
          <w:rFonts w:hint="eastAsia"/>
          <w:sz w:val="30"/>
          <w:szCs w:val="30"/>
        </w:rPr>
        <w:t>上街分局业务科长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/>
        <w:spacing w:line="520" w:lineRule="exact"/>
        <w:ind w:left="1795" w:leftChars="186" w:hanging="1200" w:hangingChars="4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sz w:val="30"/>
          <w:szCs w:val="30"/>
        </w:rPr>
        <w:t>成　员：</w:t>
      </w:r>
      <w:r>
        <w:rPr>
          <w:rFonts w:hint="eastAsia"/>
          <w:sz w:val="30"/>
          <w:szCs w:val="30"/>
        </w:rPr>
        <w:t>区发改委、区科</w:t>
      </w:r>
      <w:r>
        <w:rPr>
          <w:sz w:val="30"/>
          <w:szCs w:val="30"/>
        </w:rPr>
        <w:t>工信</w:t>
      </w:r>
      <w:r>
        <w:rPr>
          <w:rFonts w:hint="eastAsia"/>
          <w:sz w:val="30"/>
          <w:szCs w:val="30"/>
        </w:rPr>
        <w:t>局</w:t>
      </w:r>
      <w:r>
        <w:rPr>
          <w:sz w:val="30"/>
          <w:szCs w:val="30"/>
        </w:rPr>
        <w:t>、</w:t>
      </w:r>
      <w:r>
        <w:rPr>
          <w:rFonts w:hint="eastAsia"/>
          <w:sz w:val="30"/>
          <w:szCs w:val="30"/>
        </w:rPr>
        <w:t>市</w:t>
      </w:r>
      <w:r>
        <w:rPr>
          <w:sz w:val="30"/>
          <w:szCs w:val="30"/>
        </w:rPr>
        <w:t>生态环境</w:t>
      </w:r>
      <w:r>
        <w:rPr>
          <w:rFonts w:hint="eastAsia"/>
          <w:sz w:val="30"/>
          <w:szCs w:val="30"/>
        </w:rPr>
        <w:t>局上街分局</w:t>
      </w:r>
      <w:r>
        <w:rPr>
          <w:sz w:val="30"/>
          <w:szCs w:val="30"/>
        </w:rPr>
        <w:t>、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区统计局、区司法局、区城管局、区生态新城管委会工作人员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/>
        <w:spacing w:line="52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联系人：中心办分管领导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张海</w:t>
      </w:r>
      <w:r>
        <w:rPr>
          <w:rFonts w:hint="eastAsia" w:ascii="仿宋_GB2312" w:hAnsi="仿宋_GB2312" w:eastAsia="仿宋_GB2312" w:cs="仿宋_GB2312"/>
          <w:sz w:val="30"/>
          <w:szCs w:val="30"/>
        </w:rPr>
        <w:t>及业务科长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王应朝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napToGrid/>
        <w:spacing w:line="520" w:lineRule="exact"/>
        <w:ind w:left="0" w:firstLine="1500" w:firstLineChars="5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矿山办</w:t>
      </w:r>
      <w:r>
        <w:rPr>
          <w:rFonts w:hint="eastAsia" w:ascii="仿宋_GB2312" w:hAnsi="仿宋_GB2312" w:eastAsia="仿宋_GB2312" w:cs="仿宋_GB2312"/>
          <w:sz w:val="30"/>
          <w:szCs w:val="30"/>
        </w:rPr>
        <w:t>分管领导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陈凯</w:t>
      </w:r>
      <w:r>
        <w:rPr>
          <w:rFonts w:hint="eastAsia" w:ascii="仿宋_GB2312" w:hAnsi="仿宋_GB2312" w:eastAsia="仿宋_GB2312" w:cs="仿宋_GB2312"/>
          <w:sz w:val="30"/>
          <w:szCs w:val="30"/>
        </w:rPr>
        <w:t>及业务科长郝腾远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菱心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毡笔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幼线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-321310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-25.3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vg6IdgA&#10;AAAMAQAADwAAAAAAAAABACAAAAAiAAAAZHJzL2Rvd25yZXYueG1sUEsBAhQAFAAAAAgAh07iQNBQ&#10;+UTmAQAAxwMAAA4AAAAAAAAAAQAgAAAAJwEAAGRycy9lMm9Eb2MueG1sUEsFBgAAAAAGAAYAWQEA&#10;AH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3D"/>
    <w:rsid w:val="00041DA3"/>
    <w:rsid w:val="00073FB9"/>
    <w:rsid w:val="000F20B5"/>
    <w:rsid w:val="0010141C"/>
    <w:rsid w:val="00103084"/>
    <w:rsid w:val="001173E1"/>
    <w:rsid w:val="00151436"/>
    <w:rsid w:val="00184CC0"/>
    <w:rsid w:val="00193C6A"/>
    <w:rsid w:val="00194930"/>
    <w:rsid w:val="002464E5"/>
    <w:rsid w:val="002B3EB3"/>
    <w:rsid w:val="002B48A9"/>
    <w:rsid w:val="002D108C"/>
    <w:rsid w:val="002F1156"/>
    <w:rsid w:val="00336228"/>
    <w:rsid w:val="00345F6A"/>
    <w:rsid w:val="003A5CA3"/>
    <w:rsid w:val="00420BFF"/>
    <w:rsid w:val="00425C1E"/>
    <w:rsid w:val="004450A5"/>
    <w:rsid w:val="004A2411"/>
    <w:rsid w:val="004A3415"/>
    <w:rsid w:val="004B06EA"/>
    <w:rsid w:val="004D6720"/>
    <w:rsid w:val="004E6ADB"/>
    <w:rsid w:val="004F1849"/>
    <w:rsid w:val="00541461"/>
    <w:rsid w:val="00595B2A"/>
    <w:rsid w:val="005B118C"/>
    <w:rsid w:val="005C38B5"/>
    <w:rsid w:val="005D2604"/>
    <w:rsid w:val="005F619A"/>
    <w:rsid w:val="006275B9"/>
    <w:rsid w:val="00673CC2"/>
    <w:rsid w:val="00695896"/>
    <w:rsid w:val="00706AC3"/>
    <w:rsid w:val="00756695"/>
    <w:rsid w:val="007678DB"/>
    <w:rsid w:val="00795631"/>
    <w:rsid w:val="007972DC"/>
    <w:rsid w:val="007B5BC1"/>
    <w:rsid w:val="007F3F23"/>
    <w:rsid w:val="00803B73"/>
    <w:rsid w:val="00807EA3"/>
    <w:rsid w:val="00823E16"/>
    <w:rsid w:val="008250F7"/>
    <w:rsid w:val="00840B58"/>
    <w:rsid w:val="00870550"/>
    <w:rsid w:val="0087714E"/>
    <w:rsid w:val="008A1697"/>
    <w:rsid w:val="008A560C"/>
    <w:rsid w:val="00956387"/>
    <w:rsid w:val="009713A5"/>
    <w:rsid w:val="009D7C4D"/>
    <w:rsid w:val="009E1B21"/>
    <w:rsid w:val="009E6854"/>
    <w:rsid w:val="00A10FC5"/>
    <w:rsid w:val="00A1239E"/>
    <w:rsid w:val="00A24233"/>
    <w:rsid w:val="00A35DCE"/>
    <w:rsid w:val="00A36C61"/>
    <w:rsid w:val="00A62DCF"/>
    <w:rsid w:val="00A86319"/>
    <w:rsid w:val="00B164A0"/>
    <w:rsid w:val="00B56551"/>
    <w:rsid w:val="00B84DA7"/>
    <w:rsid w:val="00B86BDF"/>
    <w:rsid w:val="00B9415F"/>
    <w:rsid w:val="00B96FF5"/>
    <w:rsid w:val="00BD081E"/>
    <w:rsid w:val="00BE6205"/>
    <w:rsid w:val="00C02178"/>
    <w:rsid w:val="00C1567C"/>
    <w:rsid w:val="00C34650"/>
    <w:rsid w:val="00C37C6A"/>
    <w:rsid w:val="00C409E7"/>
    <w:rsid w:val="00C805BA"/>
    <w:rsid w:val="00CA50EF"/>
    <w:rsid w:val="00D839C4"/>
    <w:rsid w:val="00DA53DF"/>
    <w:rsid w:val="00DE0A45"/>
    <w:rsid w:val="00E32826"/>
    <w:rsid w:val="00E506A9"/>
    <w:rsid w:val="00EC128E"/>
    <w:rsid w:val="00EC7A9E"/>
    <w:rsid w:val="00EE733D"/>
    <w:rsid w:val="00F26B7E"/>
    <w:rsid w:val="00F45E0B"/>
    <w:rsid w:val="00F615F0"/>
    <w:rsid w:val="00F93C95"/>
    <w:rsid w:val="00F969B0"/>
    <w:rsid w:val="00F979D0"/>
    <w:rsid w:val="01295DC5"/>
    <w:rsid w:val="014C722B"/>
    <w:rsid w:val="015D5610"/>
    <w:rsid w:val="021203E7"/>
    <w:rsid w:val="02446B54"/>
    <w:rsid w:val="02480399"/>
    <w:rsid w:val="02916E78"/>
    <w:rsid w:val="029C7728"/>
    <w:rsid w:val="02B84A22"/>
    <w:rsid w:val="02E55DDF"/>
    <w:rsid w:val="0327628F"/>
    <w:rsid w:val="035259A3"/>
    <w:rsid w:val="035C7E12"/>
    <w:rsid w:val="03766917"/>
    <w:rsid w:val="038A30C1"/>
    <w:rsid w:val="03A435D7"/>
    <w:rsid w:val="03DD03EE"/>
    <w:rsid w:val="049E7435"/>
    <w:rsid w:val="04CD4275"/>
    <w:rsid w:val="04D41202"/>
    <w:rsid w:val="04D55B8A"/>
    <w:rsid w:val="04EE276F"/>
    <w:rsid w:val="056B7D52"/>
    <w:rsid w:val="05A92A2A"/>
    <w:rsid w:val="05BA0352"/>
    <w:rsid w:val="06A43362"/>
    <w:rsid w:val="06F9624E"/>
    <w:rsid w:val="07561150"/>
    <w:rsid w:val="075E6913"/>
    <w:rsid w:val="079503F6"/>
    <w:rsid w:val="07A331B9"/>
    <w:rsid w:val="07A4137D"/>
    <w:rsid w:val="07B85533"/>
    <w:rsid w:val="07ED50B7"/>
    <w:rsid w:val="083F780C"/>
    <w:rsid w:val="0860087A"/>
    <w:rsid w:val="086D159A"/>
    <w:rsid w:val="087E04F1"/>
    <w:rsid w:val="08C41E91"/>
    <w:rsid w:val="08D80B8D"/>
    <w:rsid w:val="0A226E49"/>
    <w:rsid w:val="0A2472F0"/>
    <w:rsid w:val="0A6276B0"/>
    <w:rsid w:val="0A8E493C"/>
    <w:rsid w:val="0AA37BBC"/>
    <w:rsid w:val="0AAA0109"/>
    <w:rsid w:val="0AFF359D"/>
    <w:rsid w:val="0B2B2B7C"/>
    <w:rsid w:val="0B317B86"/>
    <w:rsid w:val="0B364524"/>
    <w:rsid w:val="0BE96D4A"/>
    <w:rsid w:val="0C235408"/>
    <w:rsid w:val="0C970001"/>
    <w:rsid w:val="0D1D3840"/>
    <w:rsid w:val="0D2E4FA1"/>
    <w:rsid w:val="0DCB7C82"/>
    <w:rsid w:val="0DCC58F0"/>
    <w:rsid w:val="0E647FD6"/>
    <w:rsid w:val="0EC47B77"/>
    <w:rsid w:val="0ECA7D34"/>
    <w:rsid w:val="0ED04723"/>
    <w:rsid w:val="0ED55A21"/>
    <w:rsid w:val="0EDD63BB"/>
    <w:rsid w:val="0F034295"/>
    <w:rsid w:val="0F5B58B6"/>
    <w:rsid w:val="0F8C66D9"/>
    <w:rsid w:val="104E436F"/>
    <w:rsid w:val="10B70F26"/>
    <w:rsid w:val="10CD3BF8"/>
    <w:rsid w:val="114013D6"/>
    <w:rsid w:val="11616A41"/>
    <w:rsid w:val="11C11C7E"/>
    <w:rsid w:val="12297517"/>
    <w:rsid w:val="127278CB"/>
    <w:rsid w:val="127B389A"/>
    <w:rsid w:val="12BB6149"/>
    <w:rsid w:val="1301287E"/>
    <w:rsid w:val="132D46DE"/>
    <w:rsid w:val="136D2CAC"/>
    <w:rsid w:val="13EA1754"/>
    <w:rsid w:val="14737227"/>
    <w:rsid w:val="148A7B6E"/>
    <w:rsid w:val="14A44DF6"/>
    <w:rsid w:val="14B40B65"/>
    <w:rsid w:val="14D45D10"/>
    <w:rsid w:val="14FB6F77"/>
    <w:rsid w:val="151900C0"/>
    <w:rsid w:val="15266E14"/>
    <w:rsid w:val="156E51DD"/>
    <w:rsid w:val="158756AA"/>
    <w:rsid w:val="159C0DED"/>
    <w:rsid w:val="15C465FD"/>
    <w:rsid w:val="15C743AF"/>
    <w:rsid w:val="15F2242F"/>
    <w:rsid w:val="15FE14D5"/>
    <w:rsid w:val="162F036D"/>
    <w:rsid w:val="16584272"/>
    <w:rsid w:val="16AB5430"/>
    <w:rsid w:val="17473BF0"/>
    <w:rsid w:val="17607281"/>
    <w:rsid w:val="17FE4CC2"/>
    <w:rsid w:val="186648AA"/>
    <w:rsid w:val="18DF55A9"/>
    <w:rsid w:val="18E47264"/>
    <w:rsid w:val="190C4037"/>
    <w:rsid w:val="19395131"/>
    <w:rsid w:val="193C390F"/>
    <w:rsid w:val="196514D9"/>
    <w:rsid w:val="19706A70"/>
    <w:rsid w:val="19C308FE"/>
    <w:rsid w:val="19C33E77"/>
    <w:rsid w:val="1A47345D"/>
    <w:rsid w:val="1A6430AC"/>
    <w:rsid w:val="1A702D66"/>
    <w:rsid w:val="1AD61D26"/>
    <w:rsid w:val="1B514344"/>
    <w:rsid w:val="1B71124E"/>
    <w:rsid w:val="1C241B46"/>
    <w:rsid w:val="1C401A21"/>
    <w:rsid w:val="1C440BF5"/>
    <w:rsid w:val="1C5E2DF3"/>
    <w:rsid w:val="1D2416CB"/>
    <w:rsid w:val="1DBD0156"/>
    <w:rsid w:val="1DC21DA8"/>
    <w:rsid w:val="1DC43D73"/>
    <w:rsid w:val="1DF471BB"/>
    <w:rsid w:val="1E45112E"/>
    <w:rsid w:val="1E4D3C42"/>
    <w:rsid w:val="1E570B62"/>
    <w:rsid w:val="1EBC6547"/>
    <w:rsid w:val="1EE53267"/>
    <w:rsid w:val="1EE93600"/>
    <w:rsid w:val="1F112F97"/>
    <w:rsid w:val="1FA148A5"/>
    <w:rsid w:val="1FB553CE"/>
    <w:rsid w:val="1FC7022A"/>
    <w:rsid w:val="1FDB635A"/>
    <w:rsid w:val="1FF73B98"/>
    <w:rsid w:val="202C7138"/>
    <w:rsid w:val="2033512B"/>
    <w:rsid w:val="204E5E5F"/>
    <w:rsid w:val="20876C62"/>
    <w:rsid w:val="21B95788"/>
    <w:rsid w:val="225B4F2D"/>
    <w:rsid w:val="226B41B4"/>
    <w:rsid w:val="228C5F3E"/>
    <w:rsid w:val="230375EE"/>
    <w:rsid w:val="23107D23"/>
    <w:rsid w:val="23183B7E"/>
    <w:rsid w:val="234E7229"/>
    <w:rsid w:val="23AC5C24"/>
    <w:rsid w:val="24173F64"/>
    <w:rsid w:val="24290F5E"/>
    <w:rsid w:val="245F57DA"/>
    <w:rsid w:val="24996BAA"/>
    <w:rsid w:val="24EC1052"/>
    <w:rsid w:val="24F7436D"/>
    <w:rsid w:val="254C0F96"/>
    <w:rsid w:val="25744BA8"/>
    <w:rsid w:val="25937689"/>
    <w:rsid w:val="25C86501"/>
    <w:rsid w:val="25CF1D2B"/>
    <w:rsid w:val="25D44446"/>
    <w:rsid w:val="25DF5095"/>
    <w:rsid w:val="260129B7"/>
    <w:rsid w:val="261B3712"/>
    <w:rsid w:val="2677427C"/>
    <w:rsid w:val="267B63DB"/>
    <w:rsid w:val="2689079C"/>
    <w:rsid w:val="27220D1C"/>
    <w:rsid w:val="27227695"/>
    <w:rsid w:val="27285A56"/>
    <w:rsid w:val="274E458D"/>
    <w:rsid w:val="27DD3F40"/>
    <w:rsid w:val="27F65B00"/>
    <w:rsid w:val="28E850A9"/>
    <w:rsid w:val="28FB0A5B"/>
    <w:rsid w:val="29E564FC"/>
    <w:rsid w:val="29E640D9"/>
    <w:rsid w:val="2A1206A3"/>
    <w:rsid w:val="2A7D30B1"/>
    <w:rsid w:val="2B315B13"/>
    <w:rsid w:val="2B343B57"/>
    <w:rsid w:val="2BE62C51"/>
    <w:rsid w:val="2C053D1D"/>
    <w:rsid w:val="2C8167EF"/>
    <w:rsid w:val="2CB6479C"/>
    <w:rsid w:val="2CB809B7"/>
    <w:rsid w:val="2D1A490D"/>
    <w:rsid w:val="2D3026DD"/>
    <w:rsid w:val="2D6E4E32"/>
    <w:rsid w:val="2DA24E6C"/>
    <w:rsid w:val="2E585737"/>
    <w:rsid w:val="2F3E32F1"/>
    <w:rsid w:val="2F811D67"/>
    <w:rsid w:val="2F98482B"/>
    <w:rsid w:val="2FAA4E00"/>
    <w:rsid w:val="30C278FC"/>
    <w:rsid w:val="30C74E49"/>
    <w:rsid w:val="30EF4CCE"/>
    <w:rsid w:val="31156B77"/>
    <w:rsid w:val="31243DE7"/>
    <w:rsid w:val="3166081B"/>
    <w:rsid w:val="32584FB3"/>
    <w:rsid w:val="33A57A08"/>
    <w:rsid w:val="33C524AD"/>
    <w:rsid w:val="33E0611D"/>
    <w:rsid w:val="34362FB3"/>
    <w:rsid w:val="344024A8"/>
    <w:rsid w:val="347D76F8"/>
    <w:rsid w:val="3557174F"/>
    <w:rsid w:val="35984E23"/>
    <w:rsid w:val="35F82093"/>
    <w:rsid w:val="3687716F"/>
    <w:rsid w:val="36B47820"/>
    <w:rsid w:val="36EA3479"/>
    <w:rsid w:val="37350395"/>
    <w:rsid w:val="37C469AA"/>
    <w:rsid w:val="381D2527"/>
    <w:rsid w:val="389460D7"/>
    <w:rsid w:val="38A51225"/>
    <w:rsid w:val="3904678C"/>
    <w:rsid w:val="392775F2"/>
    <w:rsid w:val="395C2187"/>
    <w:rsid w:val="399713FE"/>
    <w:rsid w:val="39BB5B12"/>
    <w:rsid w:val="39C33203"/>
    <w:rsid w:val="39E44712"/>
    <w:rsid w:val="3A8C30AC"/>
    <w:rsid w:val="3B194E2B"/>
    <w:rsid w:val="3B561686"/>
    <w:rsid w:val="3B573535"/>
    <w:rsid w:val="3BA77C74"/>
    <w:rsid w:val="3C1C6D1F"/>
    <w:rsid w:val="3C1C7D30"/>
    <w:rsid w:val="3C2810F2"/>
    <w:rsid w:val="3C78503C"/>
    <w:rsid w:val="3CB01030"/>
    <w:rsid w:val="3CB72BF8"/>
    <w:rsid w:val="3CE70421"/>
    <w:rsid w:val="3D66304B"/>
    <w:rsid w:val="3D753DC0"/>
    <w:rsid w:val="3D8F7DED"/>
    <w:rsid w:val="3DBD2D90"/>
    <w:rsid w:val="3DCA6475"/>
    <w:rsid w:val="3E720631"/>
    <w:rsid w:val="3E89609D"/>
    <w:rsid w:val="3E9C5128"/>
    <w:rsid w:val="3EBC2FD0"/>
    <w:rsid w:val="3F663029"/>
    <w:rsid w:val="3F9F09B2"/>
    <w:rsid w:val="3FA5398A"/>
    <w:rsid w:val="404568BE"/>
    <w:rsid w:val="40545A8D"/>
    <w:rsid w:val="40A82055"/>
    <w:rsid w:val="40C86230"/>
    <w:rsid w:val="40E34A41"/>
    <w:rsid w:val="40FD7CCB"/>
    <w:rsid w:val="41636E05"/>
    <w:rsid w:val="41AF3655"/>
    <w:rsid w:val="42230E93"/>
    <w:rsid w:val="422E0EBA"/>
    <w:rsid w:val="42443B02"/>
    <w:rsid w:val="425848FE"/>
    <w:rsid w:val="426B77A0"/>
    <w:rsid w:val="4273122D"/>
    <w:rsid w:val="427A0F05"/>
    <w:rsid w:val="429B22BE"/>
    <w:rsid w:val="42E46927"/>
    <w:rsid w:val="432E56DC"/>
    <w:rsid w:val="439E5E8F"/>
    <w:rsid w:val="43B80050"/>
    <w:rsid w:val="441326E1"/>
    <w:rsid w:val="442D273E"/>
    <w:rsid w:val="446D05DA"/>
    <w:rsid w:val="4473046C"/>
    <w:rsid w:val="44C84E32"/>
    <w:rsid w:val="44D522BF"/>
    <w:rsid w:val="45301AB2"/>
    <w:rsid w:val="45484CCF"/>
    <w:rsid w:val="4558067F"/>
    <w:rsid w:val="45B26408"/>
    <w:rsid w:val="45C00E3C"/>
    <w:rsid w:val="45DC350C"/>
    <w:rsid w:val="46123365"/>
    <w:rsid w:val="46674521"/>
    <w:rsid w:val="46BC7ECC"/>
    <w:rsid w:val="47C21AC7"/>
    <w:rsid w:val="47FC6D8F"/>
    <w:rsid w:val="484A1AC3"/>
    <w:rsid w:val="487D2AE2"/>
    <w:rsid w:val="48F61599"/>
    <w:rsid w:val="48FF1187"/>
    <w:rsid w:val="49286B45"/>
    <w:rsid w:val="4932331B"/>
    <w:rsid w:val="493E3360"/>
    <w:rsid w:val="49804502"/>
    <w:rsid w:val="4A51444D"/>
    <w:rsid w:val="4A7E6BA0"/>
    <w:rsid w:val="4A9648C8"/>
    <w:rsid w:val="4AB647AB"/>
    <w:rsid w:val="4BC50430"/>
    <w:rsid w:val="4C0F03A9"/>
    <w:rsid w:val="4C616226"/>
    <w:rsid w:val="4C631F25"/>
    <w:rsid w:val="4C7A2CC7"/>
    <w:rsid w:val="4C9E0D54"/>
    <w:rsid w:val="4CC36BCC"/>
    <w:rsid w:val="4D3B3D0B"/>
    <w:rsid w:val="4D91438E"/>
    <w:rsid w:val="4DE27D86"/>
    <w:rsid w:val="4DF7330B"/>
    <w:rsid w:val="4E0D1DFB"/>
    <w:rsid w:val="4E565612"/>
    <w:rsid w:val="4E5B5A58"/>
    <w:rsid w:val="4E954484"/>
    <w:rsid w:val="4F55475B"/>
    <w:rsid w:val="4F8B511C"/>
    <w:rsid w:val="4FAE7557"/>
    <w:rsid w:val="4FF966A2"/>
    <w:rsid w:val="506F6DAD"/>
    <w:rsid w:val="5070035E"/>
    <w:rsid w:val="50893F19"/>
    <w:rsid w:val="508B1B6C"/>
    <w:rsid w:val="50BE7D3B"/>
    <w:rsid w:val="50C43A4D"/>
    <w:rsid w:val="50C622E3"/>
    <w:rsid w:val="50DD39E2"/>
    <w:rsid w:val="51005CC8"/>
    <w:rsid w:val="513236BC"/>
    <w:rsid w:val="51341370"/>
    <w:rsid w:val="52876F02"/>
    <w:rsid w:val="52B632D6"/>
    <w:rsid w:val="530F63D8"/>
    <w:rsid w:val="5328645E"/>
    <w:rsid w:val="535838BD"/>
    <w:rsid w:val="535F5F75"/>
    <w:rsid w:val="54D06D4D"/>
    <w:rsid w:val="54D44517"/>
    <w:rsid w:val="55771E2C"/>
    <w:rsid w:val="55E0066F"/>
    <w:rsid w:val="55FC3239"/>
    <w:rsid w:val="56204FAC"/>
    <w:rsid w:val="562D524B"/>
    <w:rsid w:val="562F2226"/>
    <w:rsid w:val="5635225B"/>
    <w:rsid w:val="565165EB"/>
    <w:rsid w:val="566F5DC2"/>
    <w:rsid w:val="56C91A26"/>
    <w:rsid w:val="56CE4E19"/>
    <w:rsid w:val="57B10E4A"/>
    <w:rsid w:val="57E434FC"/>
    <w:rsid w:val="580E69A5"/>
    <w:rsid w:val="58172A5F"/>
    <w:rsid w:val="586C6FB8"/>
    <w:rsid w:val="58927FB5"/>
    <w:rsid w:val="58B17CC1"/>
    <w:rsid w:val="58E66200"/>
    <w:rsid w:val="58EF64CC"/>
    <w:rsid w:val="591D3165"/>
    <w:rsid w:val="59584566"/>
    <w:rsid w:val="59592159"/>
    <w:rsid w:val="5A095F3B"/>
    <w:rsid w:val="5B6B1451"/>
    <w:rsid w:val="5BD13FFA"/>
    <w:rsid w:val="5BD40280"/>
    <w:rsid w:val="5BF0158B"/>
    <w:rsid w:val="5BF1089F"/>
    <w:rsid w:val="5C916481"/>
    <w:rsid w:val="5CB24DA1"/>
    <w:rsid w:val="5CCC29E6"/>
    <w:rsid w:val="5CDA10AB"/>
    <w:rsid w:val="5D1B67C5"/>
    <w:rsid w:val="5D637C56"/>
    <w:rsid w:val="5E2205B4"/>
    <w:rsid w:val="5E68201C"/>
    <w:rsid w:val="5E862A9B"/>
    <w:rsid w:val="5EA948BF"/>
    <w:rsid w:val="5EE91CA9"/>
    <w:rsid w:val="5F0A5F53"/>
    <w:rsid w:val="5F29457F"/>
    <w:rsid w:val="5F8C6564"/>
    <w:rsid w:val="603262C7"/>
    <w:rsid w:val="61B54596"/>
    <w:rsid w:val="61D61BCE"/>
    <w:rsid w:val="61EA24A8"/>
    <w:rsid w:val="61EC2079"/>
    <w:rsid w:val="622B2B8C"/>
    <w:rsid w:val="626872E5"/>
    <w:rsid w:val="62D55AC3"/>
    <w:rsid w:val="62E22674"/>
    <w:rsid w:val="62FF4DFC"/>
    <w:rsid w:val="631C3821"/>
    <w:rsid w:val="639C411C"/>
    <w:rsid w:val="642245E7"/>
    <w:rsid w:val="643C2A57"/>
    <w:rsid w:val="64456B8A"/>
    <w:rsid w:val="64CE3594"/>
    <w:rsid w:val="65224316"/>
    <w:rsid w:val="6525387A"/>
    <w:rsid w:val="66021126"/>
    <w:rsid w:val="662D49E0"/>
    <w:rsid w:val="6631244E"/>
    <w:rsid w:val="667A53D2"/>
    <w:rsid w:val="66D923D0"/>
    <w:rsid w:val="671D164A"/>
    <w:rsid w:val="672B6462"/>
    <w:rsid w:val="679E5883"/>
    <w:rsid w:val="67C14F93"/>
    <w:rsid w:val="6863155A"/>
    <w:rsid w:val="68F31663"/>
    <w:rsid w:val="690B4464"/>
    <w:rsid w:val="693630E6"/>
    <w:rsid w:val="694E6A3A"/>
    <w:rsid w:val="69751A50"/>
    <w:rsid w:val="69A7234B"/>
    <w:rsid w:val="6A4E29CD"/>
    <w:rsid w:val="6AFC7511"/>
    <w:rsid w:val="6B590150"/>
    <w:rsid w:val="6BD1106F"/>
    <w:rsid w:val="6BDE4E30"/>
    <w:rsid w:val="6BE979F3"/>
    <w:rsid w:val="6C342D41"/>
    <w:rsid w:val="6C6F3B60"/>
    <w:rsid w:val="6C8D3D1A"/>
    <w:rsid w:val="6C8D7BBE"/>
    <w:rsid w:val="6CA13C9C"/>
    <w:rsid w:val="6CAD50D5"/>
    <w:rsid w:val="6CB872F6"/>
    <w:rsid w:val="6CF249AC"/>
    <w:rsid w:val="6D39425C"/>
    <w:rsid w:val="6D7D075B"/>
    <w:rsid w:val="6DDB796B"/>
    <w:rsid w:val="6DED3D44"/>
    <w:rsid w:val="6E1E2BC5"/>
    <w:rsid w:val="6E263709"/>
    <w:rsid w:val="6EBE40C3"/>
    <w:rsid w:val="6EC57922"/>
    <w:rsid w:val="6F2F50B4"/>
    <w:rsid w:val="700A1A92"/>
    <w:rsid w:val="702C4002"/>
    <w:rsid w:val="7033438E"/>
    <w:rsid w:val="70C24F56"/>
    <w:rsid w:val="717D1286"/>
    <w:rsid w:val="71B91604"/>
    <w:rsid w:val="720862DC"/>
    <w:rsid w:val="72343A51"/>
    <w:rsid w:val="725B4A26"/>
    <w:rsid w:val="7268456D"/>
    <w:rsid w:val="72697926"/>
    <w:rsid w:val="72A86221"/>
    <w:rsid w:val="733D13D6"/>
    <w:rsid w:val="736C33EB"/>
    <w:rsid w:val="737B1C22"/>
    <w:rsid w:val="73A11696"/>
    <w:rsid w:val="749B3B2C"/>
    <w:rsid w:val="75125D2B"/>
    <w:rsid w:val="758F15DC"/>
    <w:rsid w:val="7622358F"/>
    <w:rsid w:val="76376351"/>
    <w:rsid w:val="76640C52"/>
    <w:rsid w:val="76A420AD"/>
    <w:rsid w:val="76BE7A9F"/>
    <w:rsid w:val="77023B6D"/>
    <w:rsid w:val="772C0DFD"/>
    <w:rsid w:val="773F6ED3"/>
    <w:rsid w:val="774260BE"/>
    <w:rsid w:val="77613A16"/>
    <w:rsid w:val="779F5EA3"/>
    <w:rsid w:val="77A24EA9"/>
    <w:rsid w:val="77C05C20"/>
    <w:rsid w:val="77C5278E"/>
    <w:rsid w:val="78435EC1"/>
    <w:rsid w:val="792D7E60"/>
    <w:rsid w:val="795C1528"/>
    <w:rsid w:val="79984A93"/>
    <w:rsid w:val="799D1C58"/>
    <w:rsid w:val="7A307B87"/>
    <w:rsid w:val="7A38232A"/>
    <w:rsid w:val="7A4559C5"/>
    <w:rsid w:val="7A924B28"/>
    <w:rsid w:val="7ABA7262"/>
    <w:rsid w:val="7AE209D8"/>
    <w:rsid w:val="7B7A4E38"/>
    <w:rsid w:val="7BAA2D6C"/>
    <w:rsid w:val="7C4F2C5C"/>
    <w:rsid w:val="7C821CA6"/>
    <w:rsid w:val="7D0F5D37"/>
    <w:rsid w:val="7D1358EB"/>
    <w:rsid w:val="7D2028B2"/>
    <w:rsid w:val="7D7C5F58"/>
    <w:rsid w:val="7DF6167E"/>
    <w:rsid w:val="7E16740D"/>
    <w:rsid w:val="7E446CCD"/>
    <w:rsid w:val="7E946C13"/>
    <w:rsid w:val="7EB554F8"/>
    <w:rsid w:val="7ED44D9B"/>
    <w:rsid w:val="7EED116D"/>
    <w:rsid w:val="7EEF135C"/>
    <w:rsid w:val="7F2F1CE5"/>
    <w:rsid w:val="7F455B14"/>
    <w:rsid w:val="7F7C30F0"/>
    <w:rsid w:val="7F9D7CBB"/>
    <w:rsid w:val="7FF2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index 5"/>
    <w:basedOn w:val="1"/>
    <w:next w:val="1"/>
    <w:semiHidden/>
    <w:qFormat/>
    <w:uiPriority w:val="0"/>
    <w:pPr>
      <w:widowControl w:val="0"/>
      <w:ind w:left="1680"/>
      <w:jc w:val="both"/>
    </w:pPr>
    <w:rPr>
      <w:rFonts w:ascii="Times New Roman" w:hAnsi="Times New Roman" w:eastAsia="Times New Roman" w:cs="Times New Roman"/>
      <w:kern w:val="2"/>
      <w:sz w:val="32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paragraph" w:customStyle="1" w:styleId="12">
    <w:name w:val="Char Char Char1 Char Char Char1 Char Char Char Char Char Char1 Char Char Char1 Char"/>
    <w:basedOn w:val="1"/>
    <w:qFormat/>
    <w:uiPriority w:val="0"/>
    <w:rPr>
      <w:rFonts w:eastAsia="宋体" w:cs="Tahoma"/>
      <w:kern w:val="0"/>
      <w:sz w:val="21"/>
      <w:szCs w:val="24"/>
    </w:rPr>
  </w:style>
  <w:style w:type="character" w:customStyle="1" w:styleId="13">
    <w:name w:val="font91"/>
    <w:basedOn w:val="9"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678</Words>
  <Characters>3865</Characters>
  <Lines>32</Lines>
  <Paragraphs>9</Paragraphs>
  <TotalTime>40</TotalTime>
  <ScaleCrop>false</ScaleCrop>
  <LinksUpToDate>false</LinksUpToDate>
  <CharactersWithSpaces>4534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2021-03-03T07:38:00Z</dcterms:created>
  <dc:creator>Administrator</dc:creator>
  <cp:lastModifiedBy>阿宝</cp:lastModifiedBy>
  <cp:lastPrinted>2021-07-04T08:08:43Z</cp:lastPrinted>
  <dcterms:modified xsi:type="dcterms:W3CDTF">2021-07-04T08:36:49Z</dcterms:modified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AB876662959240F19987FD0E38795EE1</vt:lpwstr>
  </property>
</Properties>
</file>